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embeddings/_____Microsoft_Excel13.xlsx" ContentType="application/vnd.openxmlformats-officedocument.spreadsheetml.sheet"/>
  <Override PartName="/word/embeddings/_____Microsoft_Excel7.xlsx" ContentType="application/vnd.openxmlformats-officedocument.spreadsheetml.sheet"/>
  <Override PartName="/word/embeddings/_____Microsoft_Excel2.xlsx" ContentType="application/vnd.openxmlformats-officedocument.spreadsheetml.sheet"/>
  <Override PartName="/word/embeddings/_____Microsoft_Excel11.xlsx" ContentType="application/vnd.openxmlformats-officedocument.spreadsheetml.sheet"/>
  <Override PartName="/word/embeddings/_____Microsoft_Excel12.xlsx" ContentType="application/vnd.openxmlformats-officedocument.spreadsheetml.sheet"/>
  <Override PartName="/word/embeddings/_____Microsoft_Excel10.xlsx" ContentType="application/vnd.openxmlformats-officedocument.spreadsheetml.sheet"/>
  <Override PartName="/word/embeddings/_____Microsoft_Excel6.xlsx" ContentType="application/vnd.openxmlformats-officedocument.spreadsheetml.sheet"/>
  <Override PartName="/word/embeddings/_____Microsoft_Excel5.xlsx" ContentType="application/vnd.openxmlformats-officedocument.spreadsheetml.sheet"/>
  <Override PartName="/word/embeddings/_____Microsoft_Excel9.xlsx" ContentType="application/vnd.openxmlformats-officedocument.spreadsheetml.sheet"/>
  <Override PartName="/word/embeddings/_____Microsoft_Excel4.xlsx" ContentType="application/vnd.openxmlformats-officedocument.spreadsheetml.sheet"/>
  <Override PartName="/word/embeddings/_____Microsoft_Excel8.xlsx" ContentType="application/vnd.openxmlformats-officedocument.spreadsheetml.sheet"/>
  <Override PartName="/word/embeddings/_____Microsoft_Excel1.xlsx" ContentType="application/vnd.openxmlformats-officedocument.spreadsheetml.sheet"/>
  <Override PartName="/word/embeddings/_____Microsoft_Excel14.xlsx" ContentType="application/vnd.openxmlformats-officedocument.spreadsheetml.sheet"/>
  <Override PartName="/word/embeddings/_____Microsoft_Excel3.xlsx" ContentType="application/vnd.openxmlformats-officedocument.spreadsheetml.sheet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jpeg" ContentType="image/jpeg"/>
  <Override PartName="/word/document.xml" ContentType="application/vnd.openxmlformats-officedocument.wordprocessingml.document.main+xml"/>
  <Override PartName="/word/charts/_rels/chart11.xml.rels" ContentType="application/vnd.openxmlformats-package.relationships+xml"/>
  <Override PartName="/word/charts/_rels/chart14.xml.rels" ContentType="application/vnd.openxmlformats-package.relationships+xml"/>
  <Override PartName="/word/charts/_rels/chart4.xml.rels" ContentType="application/vnd.openxmlformats-package.relationships+xml"/>
  <Override PartName="/word/charts/_rels/chart13.xml.rels" ContentType="application/vnd.openxmlformats-package.relationships+xml"/>
  <Override PartName="/word/charts/_rels/chart3.xml.rels" ContentType="application/vnd.openxmlformats-package.relationships+xml"/>
  <Override PartName="/word/charts/_rels/chart5.xml.rels" ContentType="application/vnd.openxmlformats-package.relationships+xml"/>
  <Override PartName="/word/charts/_rels/chart6.xml.rels" ContentType="application/vnd.openxmlformats-package.relationships+xml"/>
  <Override PartName="/word/charts/_rels/chart7.xml.rels" ContentType="application/vnd.openxmlformats-package.relationships+xml"/>
  <Override PartName="/word/charts/_rels/chart1.xml.rels" ContentType="application/vnd.openxmlformats-package.relationships+xml"/>
  <Override PartName="/word/charts/_rels/chart8.xml.rels" ContentType="application/vnd.openxmlformats-package.relationships+xml"/>
  <Override PartName="/word/charts/_rels/chart12.xml.rels" ContentType="application/vnd.openxmlformats-package.relationships+xml"/>
  <Override PartName="/word/charts/_rels/chart2.xml.rels" ContentType="application/vnd.openxmlformats-package.relationships+xml"/>
  <Override PartName="/word/charts/_rels/chart9.xml.rels" ContentType="application/vnd.openxmlformats-package.relationships+xml"/>
  <Override PartName="/word/charts/_rels/chart10.xml.rels" ContentType="application/vnd.openxmlformats-package.relationships+xml"/>
  <Override PartName="/word/charts/chart14.xml" ContentType="application/vnd.openxmlformats-officedocument.drawingml.chart+xml"/>
  <Override PartName="/word/charts/chart13.xml" ContentType="application/vnd.openxmlformats-officedocument.drawingml.chart+xml"/>
  <Override PartName="/word/charts/chart12.xml" ContentType="application/vnd.openxmlformats-officedocument.drawingml.chart+xml"/>
  <Override PartName="/word/charts/chart11.xml" ContentType="application/vnd.openxmlformats-officedocument.drawingml.chart+xml"/>
  <Override PartName="/word/charts/chart4.xml" ContentType="application/vnd.openxmlformats-officedocument.drawingml.chart+xml"/>
  <Override PartName="/word/charts/chart3.xml" ContentType="application/vnd.openxmlformats-officedocument.drawingml.chart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charts/chart5.xml" ContentType="application/vnd.openxmlformats-officedocument.drawingml.chart+xml"/>
  <Override PartName="/word/charts/chart10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709" w:right="-28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Анализ</w:t>
      </w:r>
    </w:p>
    <w:p>
      <w:pPr>
        <w:pStyle w:val="Normal"/>
        <w:ind w:left="-709" w:right="-28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состояния детского дорожно-транспортного травматизма</w:t>
      </w:r>
    </w:p>
    <w:p>
      <w:pPr>
        <w:pStyle w:val="Normal"/>
        <w:ind w:left="-709" w:right="-28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на территории Свердловской области за семь месяцев 2021 года</w:t>
      </w:r>
    </w:p>
    <w:p>
      <w:pPr>
        <w:pStyle w:val="Normal"/>
        <w:suppressAutoHyphens w:val="true"/>
        <w:ind w:left="-709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true"/>
        <w:ind w:left="-709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drawing>
          <wp:inline distT="0" distB="0" distL="0" distR="0">
            <wp:extent cx="3015615" cy="3596005"/>
            <wp:effectExtent l="0" t="0" r="0" b="0"/>
            <wp:docPr id="1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inline>
        </w:drawing>
      </w:r>
    </w:p>
    <w:p>
      <w:pPr>
        <w:pStyle w:val="Normal"/>
        <w:suppressAutoHyphens w:val="true"/>
        <w:ind w:left="-709" w:right="-1" w:firstLine="709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территории Свердловской области </w:t>
        <w:br/>
        <w:t xml:space="preserve">за семь месяцев 2021 г. зарегистрировано 206 </w:t>
        <w:br/>
        <w:t xml:space="preserve">(162; +27 %) ДТП с участием несовершеннолетних, в которых 224 </w:t>
        <w:br/>
      </w:r>
      <w:bookmarkStart w:id="0" w:name="_GoBack"/>
      <w:bookmarkEnd w:id="0"/>
      <w:r>
        <w:rPr>
          <w:color w:val="000000" w:themeColor="text1"/>
          <w:sz w:val="28"/>
          <w:szCs w:val="28"/>
        </w:rPr>
        <w:t>(179; +25%) ребенка получили травмы различной степени тяжести и 15 (1; +1400%) погибли.</w:t>
      </w:r>
    </w:p>
    <w:p>
      <w:pPr>
        <w:pStyle w:val="Normal"/>
        <w:suppressAutoHyphens w:val="true"/>
        <w:ind w:left="-709"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Дорожно-транспортные происшествия, в результате которых пострадали дети, </w:t>
      </w:r>
      <w:r>
        <w:rPr>
          <w:sz w:val="28"/>
          <w:szCs w:val="28"/>
        </w:rPr>
        <w:t xml:space="preserve">составили 14% </w:t>
      </w:r>
      <w:r>
        <w:rPr>
          <w:color w:val="000000" w:themeColor="text1"/>
          <w:sz w:val="28"/>
          <w:szCs w:val="28"/>
        </w:rPr>
        <w:t xml:space="preserve">от общего количества учетных дорожных аварий. Таким образом, дети стали участниками каждого 6 ДТП </w:t>
        <w:br/>
        <w:t>с пострадавшими в регионе.</w:t>
      </w:r>
    </w:p>
    <w:p>
      <w:pPr>
        <w:pStyle w:val="Normal"/>
        <w:suppressAutoHyphens w:val="true"/>
        <w:ind w:left="-709"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ДТП с погибшими детьми зарегистрированы в Екатеринбурге -3 (+100%), Каменске-Уральском -2 (+100%), Серове -2 (+100%), Ивделе -2 (+100%), Заречном, Первоуральске и Реже по 1 (+100%):</w:t>
      </w:r>
    </w:p>
    <w:p>
      <w:pPr>
        <w:pStyle w:val="ConsPlusNormal"/>
        <w:widowControl/>
        <w:numPr>
          <w:ilvl w:val="0"/>
          <w:numId w:val="0"/>
        </w:numPr>
        <w:ind w:left="-709" w:firstLine="567"/>
        <w:jc w:val="both"/>
        <w:outlineLvl w:val="1"/>
        <w:rPr>
          <w:rStyle w:val="Style18"/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i/>
          <w:color w:val="000000" w:themeColor="text1"/>
          <w:sz w:val="26"/>
          <w:szCs w:val="26"/>
        </w:rPr>
        <w:t xml:space="preserve">02.01.2021 года около 15 часов в </w:t>
      </w:r>
      <w:r>
        <w:rPr>
          <w:rStyle w:val="Style18"/>
          <w:rFonts w:cs="Times New Roman" w:ascii="Times New Roman" w:hAnsi="Times New Roman"/>
          <w:color w:val="000000" w:themeColor="text1"/>
          <w:sz w:val="26"/>
          <w:szCs w:val="26"/>
        </w:rPr>
        <w:t xml:space="preserve">Каменском </w:t>
      </w:r>
      <w:r>
        <w:rPr>
          <w:rStyle w:val="Style18"/>
          <w:rFonts w:cs="Times New Roman" w:ascii="Times New Roman" w:hAnsi="Times New Roman"/>
          <w:sz w:val="26"/>
          <w:szCs w:val="26"/>
        </w:rPr>
        <w:t xml:space="preserve">городском округе, с. Рыбниковское </w:t>
      </w:r>
      <w:r>
        <w:rPr>
          <w:rFonts w:cs="Times New Roman" w:ascii="Times New Roman" w:hAnsi="Times New Roman"/>
          <w:i/>
          <w:color w:val="000000" w:themeColor="text1"/>
          <w:sz w:val="26"/>
          <w:szCs w:val="26"/>
        </w:rPr>
        <w:t>(зона обслуживания МО МВД России «Каменск-Уральский»)</w:t>
      </w:r>
      <w:r>
        <w:rPr>
          <w:rStyle w:val="Style18"/>
          <w:rFonts w:cs="Times New Roman" w:ascii="Times New Roman" w:hAnsi="Times New Roman"/>
          <w:sz w:val="26"/>
          <w:szCs w:val="26"/>
        </w:rPr>
        <w:t xml:space="preserve">, напротив дома №22 по </w:t>
        <w:br/>
        <w:t xml:space="preserve">ул.  Советская, водитель автомобиля «Митсубиси ASX» допустил наезд на 2-х летнего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>
        <w:rPr>
          <w:rStyle w:val="Style18"/>
          <w:rFonts w:cs="Times New Roman" w:ascii="Times New Roman" w:hAnsi="Times New Roman"/>
          <w:color w:val="000000" w:themeColor="text1"/>
          <w:sz w:val="26"/>
          <w:szCs w:val="26"/>
        </w:rPr>
        <w:t xml:space="preserve">автомобиля. </w:t>
      </w:r>
      <w:r>
        <w:rPr>
          <w:rFonts w:cs="Times New Roman" w:ascii="Times New Roman" w:hAnsi="Times New Roman"/>
          <w:i/>
          <w:color w:val="000000" w:themeColor="text1"/>
          <w:sz w:val="26"/>
          <w:szCs w:val="26"/>
        </w:rPr>
        <w:t>От полученных травм мальчик скончался на месте происшествия.</w:t>
      </w:r>
      <w:r>
        <w:rPr>
          <w:rStyle w:val="Style18"/>
          <w:rFonts w:cs="Times New Roman"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Style w:val="Style18"/>
          <w:rFonts w:cs="Times New Roman" w:ascii="Times New Roman" w:hAnsi="Times New Roman"/>
          <w:sz w:val="26"/>
          <w:szCs w:val="26"/>
        </w:rPr>
        <w:t>Погибший находился в сопровождении 14-летней сестры</w:t>
      </w:r>
      <w:r>
        <w:rPr>
          <w:rStyle w:val="Style18"/>
          <w:rFonts w:cs="Times New Roman" w:ascii="Times New Roman" w:hAnsi="Times New Roman"/>
          <w:color w:val="000000" w:themeColor="text1"/>
          <w:sz w:val="26"/>
          <w:szCs w:val="26"/>
        </w:rPr>
        <w:t xml:space="preserve"> и еще троих</w:t>
      </w:r>
      <w:r>
        <w:rPr>
          <w:rStyle w:val="Style18"/>
          <w:rFonts w:cs="Times New Roman" w:ascii="Times New Roman" w:hAnsi="Times New Roman"/>
          <w:sz w:val="26"/>
          <w:szCs w:val="26"/>
        </w:rPr>
        <w:t xml:space="preserve"> детей. После прогулки у озера ребята возвращались домой. Двигались по краю проезжей части навстречу движению. Заметив приближающийся автомобиль, дети остановились, сестра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 Световозвращающие элементы на одежде детей отсутствовали.</w:t>
      </w:r>
    </w:p>
    <w:p>
      <w:pPr>
        <w:pStyle w:val="ConsPlusNormal"/>
        <w:widowControl/>
        <w:numPr>
          <w:ilvl w:val="0"/>
          <w:numId w:val="0"/>
        </w:numPr>
        <w:ind w:left="-709" w:firstLine="567"/>
        <w:jc w:val="both"/>
        <w:outlineLvl w:val="1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color w:val="000000" w:themeColor="text1"/>
          <w:sz w:val="26"/>
          <w:szCs w:val="26"/>
        </w:rPr>
        <w:t xml:space="preserve">07.02.2021 года около 10.00 часов в Ивдельском районе на 116 км автодороги Ивдель-ХМАО (зона обслуживания МО МВД России «Ивдельский») водитель автомобиля «Тойота Ленд Крузер», при совершении обгона не убедился в безопасности маневра, не учел погодные условия (метель), допустил столкновение с автомобилем «Киа Сид», который двигался во встречном направлении. </w:t>
      </w:r>
      <w:r>
        <w:rPr>
          <w:rFonts w:cs="Times New Roman" w:ascii="Times New Roman" w:hAnsi="Times New Roman"/>
          <w:i/>
          <w:sz w:val="26"/>
          <w:szCs w:val="26"/>
        </w:rPr>
        <w:t>В результате ДТП погибла 8 –летняя девочка, пассажир автомобиля «Киа Сид», которая находилась на заднем пассажирском сидении. Ее 10 летняя сестра, в момент аварии сидела рядом, скончалась во время транспортировки в лечебное учреждение. В автомобиле девочки находились вместе с родителями, все были пристегнуты ремнями безопасности. Семья направлялась из Югорска в Екатеринбург на отдых. Водитель «Киа Сид», отец девочек, скончался на 12 сутки после ДТП, не приходя в сознание.</w:t>
      </w:r>
    </w:p>
    <w:p>
      <w:pPr>
        <w:pStyle w:val="ConsPlusNormal"/>
        <w:widowControl/>
        <w:numPr>
          <w:ilvl w:val="0"/>
          <w:numId w:val="0"/>
        </w:numPr>
        <w:ind w:left="-709" w:firstLine="567"/>
        <w:jc w:val="both"/>
        <w:outlineLvl w:val="1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color w:val="000000" w:themeColor="text1"/>
          <w:sz w:val="26"/>
          <w:szCs w:val="26"/>
        </w:rPr>
        <w:t>03.</w:t>
      </w:r>
      <w:r>
        <w:rPr>
          <w:rFonts w:cs="Times New Roman" w:ascii="Times New Roman" w:hAnsi="Times New Roman"/>
          <w:i/>
          <w:sz w:val="26"/>
          <w:szCs w:val="26"/>
        </w:rPr>
        <w:t xml:space="preserve">03.2021 года около 10.00 часов на 88 км автодороги Серов – Сосьва – Гари </w:t>
      </w:r>
      <w:r>
        <w:rPr>
          <w:rFonts w:cs="Times New Roman" w:ascii="Times New Roman" w:hAnsi="Times New Roman"/>
          <w:i/>
          <w:color w:val="000000" w:themeColor="text1"/>
          <w:sz w:val="26"/>
          <w:szCs w:val="26"/>
        </w:rPr>
        <w:t>(зона обслуживания МО МВД России «Серовский»)</w:t>
      </w:r>
      <w:r>
        <w:rPr>
          <w:rFonts w:cs="Times New Roman" w:ascii="Times New Roman" w:hAnsi="Times New Roman"/>
          <w:i/>
          <w:sz w:val="26"/>
          <w:szCs w:val="26"/>
        </w:rPr>
        <w:t xml:space="preserve"> 46-летний водитель автомобиля «Рено», при проезде затяжного поворота, не учел дорожные и погодные условия, не справился с управлением, выехал на полосу встречного движения, где допустил столкновение с грузовым автомобилем «Камаз». В результате ДТП 4-х летний мальчик, пассажир </w:t>
        <w:br/>
        <w:t xml:space="preserve">автомобиля «Рено», от полученных травм скончался во время транспортировки в лечебное учреждение, не приходя в сознание. В момент аварии мальчик находился на заднем пассажирском сидении слева в детском удерживающем устройстве, соответствующем росту и весу ребенка и был пристегнут ремнем безопасности, удар пришелся в его сторону. Установлено, что родители забрали ребенка из детского сада, пояснив воспитателю, что им необходимо ехать в г. Серов к стоматологу.  При этом никто не обратил внимание на плохие погодные условия (снегопад). Автомобилем «Рено» управлял глава семьи, во время движения в салоне находилась семья из четырех человек. </w:t>
      </w:r>
    </w:p>
    <w:p>
      <w:pPr>
        <w:pStyle w:val="ConsPlusNormal"/>
        <w:widowControl/>
        <w:numPr>
          <w:ilvl w:val="0"/>
          <w:numId w:val="0"/>
        </w:numPr>
        <w:ind w:left="-709" w:firstLine="567"/>
        <w:jc w:val="both"/>
        <w:outlineLvl w:val="1"/>
        <w:rPr>
          <w:rFonts w:ascii="Times New Roman" w:hAnsi="Times New Roman" w:cs="Times New Roman"/>
          <w:i/>
          <w:i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i/>
          <w:color w:val="000000" w:themeColor="text1"/>
          <w:sz w:val="26"/>
          <w:szCs w:val="26"/>
        </w:rPr>
        <w:t>14.03.2021 около 19.00 в Заречном районе на 48 км автодороги «Екатеринбург-Тюмень» (зона обслуживания МО МВД России «Заречный»), водитель автомобиля «Киа», не справился с управлением транспортного средства, допустил выезд встречную полосу и столкновение с грузовым автомобилем «Вольво», двигавшимся во встречном направлении. В результате аварии водитель и четыре пассажира легкового автомобиля, из них двое –несовершеннолетние, девочка 11 лет и мальчик 15 лет, получили травмы, несовместимые с жизнью и скончались на месте происшествия до прибытия бригады скорой медицинской помощи. В момент ДТП дети находились на заднем пассажирском сидении и не были пристегнуты ремнями безопасности.</w:t>
      </w:r>
      <w:r>
        <w:rPr>
          <w:rFonts w:cs="Times New Roman" w:ascii="Times New Roman" w:hAnsi="Times New Roman"/>
          <w:i/>
          <w:color w:val="000000" w:themeColor="text1"/>
          <w:sz w:val="26"/>
          <w:szCs w:val="26"/>
          <w:shd w:fill="FFFFFF" w:val="clear"/>
        </w:rPr>
        <w:t xml:space="preserve"> Несовершеннолетние со своими законными представителями направлялись домой после отдыха на горячих источниках в г. Тюмень.</w:t>
      </w:r>
    </w:p>
    <w:p>
      <w:pPr>
        <w:pStyle w:val="Default"/>
        <w:ind w:left="-709" w:firstLine="567"/>
        <w:jc w:val="both"/>
        <w:rPr>
          <w:i/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  <w:shd w:fill="FFFFFF" w:val="clear"/>
        </w:rPr>
        <w:t xml:space="preserve">23.03. 2021 года </w:t>
      </w:r>
      <w:r>
        <w:rPr>
          <w:i/>
          <w:color w:val="000000" w:themeColor="text1"/>
          <w:sz w:val="26"/>
          <w:szCs w:val="26"/>
        </w:rPr>
        <w:t>около 17.00 в г. Екатеринбурге на пр. Космонавтов, напротив дома №92, в</w:t>
      </w:r>
      <w:r>
        <w:rPr>
          <w:i/>
          <w:color w:val="000000" w:themeColor="text1"/>
          <w:sz w:val="26"/>
          <w:szCs w:val="26"/>
          <w:shd w:fill="FFFFFF" w:val="clear"/>
        </w:rPr>
        <w:t xml:space="preserve">одитель автомобиля «Ниссан» допустил наезд на 9 летнюю девочку -пешехода, которая перебегала шести полосную проезжую часть дороги в неустановленном месте перед близко идущими транспортными средствами слева направо по ходу движения автомобиля.  В результате ДТП несовершеннолетний пешеход получил травмы несовместимые с жизнью, скончался в автомобиле скорой медицинской помощи. </w:t>
      </w:r>
      <w:r>
        <w:rPr>
          <w:i/>
          <w:color w:val="000000" w:themeColor="text1"/>
          <w:sz w:val="26"/>
          <w:szCs w:val="26"/>
        </w:rPr>
        <w:t>Девочка гуляла с подругой на детской площадке, расположенной недалеко от школы. После прогулки она направилась домой одна, решив сократить путь и перебежать дорогу в неположенном месте. Родители несовершеннолетней в момент ДТП находились на работе.</w:t>
      </w:r>
    </w:p>
    <w:p>
      <w:pPr>
        <w:pStyle w:val="Default"/>
        <w:ind w:left="-709" w:firstLine="567"/>
        <w:jc w:val="both"/>
        <w:rPr>
          <w:i/>
          <w:i/>
          <w:color w:val="000000" w:themeColor="text1"/>
          <w:sz w:val="26"/>
          <w:szCs w:val="26"/>
          <w:highlight w:val="white"/>
        </w:rPr>
      </w:pPr>
      <w:r>
        <w:rPr>
          <w:i/>
          <w:color w:val="000000" w:themeColor="text1"/>
          <w:sz w:val="26"/>
          <w:szCs w:val="26"/>
          <w:shd w:fill="FFFFFF" w:val="clear"/>
        </w:rPr>
        <w:t>11.04.2021 года около 22.00 в г. Каменск-Уральский на ул. Алюминиевой напротив дома №43, водитель автомобиля «Форд Мондео» не выдержал безопасную дистанцию и допустил столкновение с попутно движущимся автомобилем «Форд Орион», который после удара выехал за пределы проезжей части и наехал на препятствие в виде дерева. После сильнейших ударов 2-летний пассажир автомобиля «Форд Орион», находящийся на заднем пассажирском сидении в детском удерживающем устройстве, соответствующем росту и весу ребенка и не пристегнутый плечевыми лямками пятиточечного ремня безопасности в автокресле, вылетел через заднее стекло автомобиля и упал на газон. В результате ДТП несовершеннолетний пассажир получил тяжелые травмы и спустя шесть часов скончался в реанимационном отделении, не приходя в сознание. В момент ДТП в автомобиле находился еще один годовалый ребенок-пассажир, который располагался также на заднем пассажирском сидении в детском удерживающем устройстве, он травм не получил.  Мать погибшего пояснила, что ранее старший сын снимал уже плечевые лямки и она делала ребенку замечания, но в этот раз не заметила.</w:t>
      </w:r>
    </w:p>
    <w:p>
      <w:pPr>
        <w:pStyle w:val="Default"/>
        <w:ind w:left="-709" w:firstLine="709"/>
        <w:jc w:val="both"/>
        <w:rPr>
          <w:i/>
          <w:i/>
          <w:sz w:val="26"/>
          <w:szCs w:val="26"/>
          <w:highlight w:val="white"/>
        </w:rPr>
      </w:pPr>
      <w:r>
        <w:rPr>
          <w:i/>
          <w:sz w:val="26"/>
          <w:szCs w:val="26"/>
          <w:shd w:fill="FFFFFF" w:val="clear"/>
        </w:rPr>
        <w:t>10.05.2021 около 18.00 часов в Екатеринбурге на 61 км Екатеринбургской кольцевой автомобильной дороги водитель автомобиля «Лада-211340», при выезде с правой обочины не убедился в безопасности маневра и допустил столкновение с грузовым фургоном «Фиат Дукато», который двигался в попутном направлении. В результате ДТП погибли четыре пассажира автомобиля «Лада-211340», в том числе 7-летняя девочка-пассажир. В момент ДТП ребенок находился на переднем пассажирском сидении в детском удерживающем устройстве, соответствующем росту и весу ребенка и был пристегнут штатным ремнем безопасности, в результате сильной деформации кузова девочка получил травмы, несовместимые с жизнью. В легковом автомобиле находилась семья из пяти человек: бабушка, дедушка, мать, отец и их дочь, они возвращались с дачи домой. Выжил только водитель, отец ребенка.</w:t>
      </w:r>
    </w:p>
    <w:p>
      <w:pPr>
        <w:pStyle w:val="Default"/>
        <w:ind w:left="-709" w:firstLine="709"/>
        <w:jc w:val="both"/>
        <w:rPr>
          <w:i/>
          <w:i/>
          <w:sz w:val="26"/>
          <w:szCs w:val="26"/>
          <w:highlight w:val="white"/>
        </w:rPr>
      </w:pPr>
      <w:r>
        <w:rPr>
          <w:i/>
          <w:sz w:val="26"/>
          <w:szCs w:val="26"/>
          <w:shd w:fill="FFFFFF" w:val="clear"/>
        </w:rPr>
        <w:t>13.05.2021 около 17.00 часов по адресу: г. Реж, ул. Советская напротив дома №57, водитель автомобиля «Хендай Солярис» допустил наезд на двух 11-летних девочек-пешеходов, перебегавших проезжую часть дороги в неустановленном месте, перед близко идущим транспортным средством слева направо по ходу движения автомобиля. В результате ДТП одна из девочек спустя три часа скончалась в лечебном учреждении, не приходя в сознание. Вторая девочка с закрытой черепно-мозговой травмой, ушибами головы и конечностей госпитализирована. Установлено, что несовершеннолетние находились без сопровождения взрослых, возвращались домой с прогулки и решили не идти до пешеходного перехода, а перейти дорогу в неположенном месте. В момент ДТП световозвращающих элементов на пешеходах не было.</w:t>
      </w:r>
    </w:p>
    <w:p>
      <w:pPr>
        <w:pStyle w:val="Default"/>
        <w:ind w:left="-709" w:firstLine="709"/>
        <w:jc w:val="both"/>
        <w:rPr>
          <w:i/>
          <w:i/>
          <w:sz w:val="26"/>
          <w:szCs w:val="26"/>
          <w:highlight w:val="white"/>
        </w:rPr>
      </w:pPr>
      <w:r>
        <w:rPr>
          <w:i/>
          <w:sz w:val="26"/>
          <w:szCs w:val="26"/>
          <w:shd w:fill="FFFFFF" w:val="clear"/>
        </w:rPr>
        <w:t xml:space="preserve">23.05.2021 около 20.00 часов по адресу: Серовский городской округ, </w:t>
        <w:br/>
        <w:t xml:space="preserve">п. Красноярка, ул. Бажова напротив дома №30, 15-летний водитель мопеда «Альфа», не имеющий права управления, без мотошлема и без государственного регистрационного знака, при пересечении нерегулируемого перекрестка равнозначных дорог не уступил дорогу мотоциклу «Ява», приближающемуся справа и допустил с ним столкновение. После столкновения водитель мотоцикла «Ява» скрылся с места ДТП, впоследствии был разыскан сотрудниками ГИБДД.  В результате ДТП несовершеннолетний водитель мопеда «Альфа», в тяжелом состоянии госпитализирован в реанимационное отделение ДГКБ №9 </w:t>
        <w:br/>
        <w:t>г. Екатеринбурга, где на четвертые сутки скончался, не приходя в сознание. Ребенок попросил у отчима мопед, чтобы прокатиться по поселку. Отчим разрешил, при этом мужчина не знал, что несовершеннолетнему нельзя управлять мопедом. В момент ДТП защитной экипировки и световозвращающих элементов на ребенке не было.</w:t>
      </w:r>
    </w:p>
    <w:p>
      <w:pPr>
        <w:pStyle w:val="Default"/>
        <w:ind w:left="-709" w:firstLine="709"/>
        <w:jc w:val="both"/>
        <w:rPr>
          <w:i/>
          <w:i/>
          <w:color w:val="000000" w:themeColor="text1"/>
          <w:sz w:val="26"/>
          <w:szCs w:val="26"/>
          <w:highlight w:val="white"/>
        </w:rPr>
      </w:pPr>
      <w:r>
        <w:rPr>
          <w:i/>
          <w:sz w:val="26"/>
          <w:szCs w:val="26"/>
          <w:shd w:fill="FFFFFF" w:val="clear"/>
        </w:rPr>
        <w:t xml:space="preserve">27.05.2021 около 00.30 часов в Екатеринбурге на 9 км дублера Сибирского тракта водитель автомобиля «Ниссан Альмера», двигаясь со стороны г. Тюмень не обеспечил постоянный контроль за движением и допустил наезд на стоящий перед регулируемым пешеходным переходом автомобиль «Лексус 350», который ожидал разрешающий сигнал светофора. В результате ДТП 9-летний мальчик-пассажир автомобиля «Ниссан Альмера», с переломом основания черепа, закрытой черепно-мозговой травмой госпитализирован в </w:t>
        <w:br/>
        <w:t xml:space="preserve">9 ДГКБ, где на 7 сутки скончался. В момент ДТП ребенок находился на заднем пассажирском сидении </w:t>
      </w:r>
      <w:r>
        <w:rPr>
          <w:i/>
          <w:color w:val="000000" w:themeColor="text1"/>
          <w:sz w:val="26"/>
          <w:szCs w:val="26"/>
          <w:shd w:fill="FFFFFF" w:val="clear"/>
        </w:rPr>
        <w:t>в детском удерживающем устройстве - бустер, соответствующем росту и весу ребенка и был пристегнут ремнем безопасности, в связи с сильнейшим ударом головы о кузов автомобиля получил тяжелые травмы. Водитель автомобиля «Ниссан Альмера» - отец ребенка, пояснил, что во время движения отвлекся на сына, из-за чего не заметил стоящий автомобиль.</w:t>
      </w:r>
    </w:p>
    <w:p>
      <w:pPr>
        <w:pStyle w:val="Default"/>
        <w:ind w:left="-709" w:firstLine="709"/>
        <w:jc w:val="both"/>
        <w:rPr>
          <w:i/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  <w:shd w:fill="FFFFFF" w:val="clear"/>
        </w:rPr>
        <w:t xml:space="preserve">12.06.2021 около 11.30 часов в Ивдельском районе на 136 км автодороги Ивдель-ХМАО </w:t>
      </w:r>
      <w:r>
        <w:rPr>
          <w:i/>
          <w:color w:val="000000" w:themeColor="text1"/>
          <w:sz w:val="26"/>
          <w:szCs w:val="26"/>
        </w:rPr>
        <w:t xml:space="preserve">(зона обслуживания МО МВД России «Ивдельский») </w:t>
      </w:r>
      <w:r>
        <w:rPr>
          <w:i/>
          <w:color w:val="000000" w:themeColor="text1"/>
          <w:sz w:val="26"/>
          <w:szCs w:val="26"/>
          <w:shd w:fill="FFFFFF" w:val="clear"/>
        </w:rPr>
        <w:t xml:space="preserve">водитель автомобиля «Ниссан Кашкай» по неустановленной причине </w:t>
      </w:r>
      <w:r>
        <w:rPr>
          <w:i/>
          <w:color w:val="000000" w:themeColor="text1"/>
          <w:sz w:val="26"/>
          <w:szCs w:val="26"/>
        </w:rPr>
        <w:t>допустил выезд на полосу, предназначенную для встречного движения, где совершил столкновение с автомобилем «Джили Кулрэй». В результате ДТП погибли водитель и три пассажира автомобиля «Ниссан Кашкай», из них двое несовершеннолетние, 9–летняя девочка и 11-летний мальчик, которые находились на заднем пассажирском сидении. В автомобиле дети находились в сопровождении родственников, которые также погибли. Еще одна 15-летняя девочка-пассажир этого автомобиля, в тяжелом состоянии госпитализирована в больницу г. Ивдель. В момент аварии все были пристегнуты ремнями безопасности. Семья направлялась на отдых.</w:t>
      </w:r>
    </w:p>
    <w:p>
      <w:pPr>
        <w:pStyle w:val="Default"/>
        <w:ind w:left="-709" w:firstLine="709"/>
        <w:jc w:val="both"/>
        <w:rPr>
          <w:i/>
          <w:i/>
          <w:sz w:val="28"/>
          <w:szCs w:val="28"/>
        </w:rPr>
      </w:pPr>
      <w:r>
        <w:rPr>
          <w:i/>
          <w:color w:val="000000" w:themeColor="text1"/>
          <w:sz w:val="26"/>
          <w:szCs w:val="26"/>
          <w:shd w:fill="FFFFFF" w:val="clear"/>
        </w:rPr>
        <w:t xml:space="preserve">03.07.2021 около 19.00 часов в Первоуральском районе на </w:t>
      </w:r>
      <w:r>
        <w:rPr>
          <w:i/>
          <w:sz w:val="28"/>
          <w:szCs w:val="28"/>
        </w:rPr>
        <w:t>8 км подъездной автодороги к озеру Глухое</w:t>
      </w:r>
      <w:r>
        <w:rPr>
          <w:i/>
          <w:color w:val="000000" w:themeColor="text1"/>
          <w:sz w:val="26"/>
          <w:szCs w:val="26"/>
          <w:shd w:fill="FFFFFF" w:val="clear"/>
        </w:rPr>
        <w:t xml:space="preserve"> нетрезвый и ранее лишенный права управления </w:t>
      </w:r>
      <w:r>
        <w:rPr>
          <w:i/>
          <w:sz w:val="28"/>
          <w:szCs w:val="28"/>
        </w:rPr>
        <w:t>водитель автомобиля "Фиат Дукато", не обеспечил постоянный контроль за движением, допустил съезд с проезжей части вправо с последующим наездом на препятствие в виде дерева. В результате ДТП погибла пятилетняя дочь водителя, которая в момент аварии находилась на коленях отца. Второй ребенок-пассажир, 7 летний сын водителя, который также находился в автомобиле в качестве пассажира без детского удерживающего устройства и не был пристегнут ремнем безопасности, получил травмы различной степени тяжести, доставлен в больницу. Сам водитель в ДТП не пострадал. Мать детей в момент трагедии находилась на работе.</w:t>
      </w:r>
    </w:p>
    <w:p>
      <w:pPr>
        <w:pStyle w:val="Default"/>
        <w:ind w:left="-709" w:firstLine="709"/>
        <w:jc w:val="both"/>
        <w:rPr>
          <w:i/>
          <w:i/>
          <w:color w:val="000000" w:themeColor="text1"/>
          <w:sz w:val="26"/>
          <w:szCs w:val="26"/>
          <w:highlight w:val="white"/>
        </w:rPr>
      </w:pPr>
      <w:r>
        <w:rPr>
          <w:i/>
          <w:color w:val="000000" w:themeColor="text1"/>
          <w:sz w:val="26"/>
          <w:szCs w:val="26"/>
          <w:shd w:fill="FFFFFF" w:val="clear"/>
        </w:rPr>
      </w:r>
    </w:p>
    <w:p>
      <w:pPr>
        <w:pStyle w:val="Normal"/>
        <w:ind w:left="-709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15 муниципальных образованиях Свердловской области отмечается рост аварийности с участием несовершеннолетних. На 500% увеличилось количество ДТП в Краснотурьинске и Серове (по 6 ДТП); на 123% в Екатеринбурге (98 ДТП); на 100% в Каменске-Уральском (10 ДТП), Березовском (6 ДТП), Туринске (5 ДТП), Артях и Лесном (по 4 ДТП), Верхней Салде и Кушве (по 2 ДТП), Артемовском, Ревде и Тугулыме (по 1 ДТП); на 40% в Первоуральске (7 ДТП); на 33% в Красноуфимске (4 ДТП).</w:t>
      </w:r>
    </w:p>
    <w:p>
      <w:pPr>
        <w:pStyle w:val="Normal"/>
        <w:ind w:left="-709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left="-709" w:firstLine="284"/>
        <w:jc w:val="both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6115050" cy="3543300"/>
            <wp:effectExtent l="0" t="0" r="0" b="0"/>
            <wp:docPr id="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"/>
              </a:graphicData>
            </a:graphic>
          </wp:inline>
        </w:drawing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709"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38% (91) пострадавших и погибших в ДТП детей приходится на среднее школьное звено, 36% (87) на начальную школу и 26% (61) на дошкольный возраст, при этом большая часть пострадали и погибли в качестве пассажиров транспортных средств.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45 случаях ДТП с пострадавшими детьми-пассажирами произошли по причине нарушения ПДД РФ водителем, в чьем автомобиле находились дети, в этих авариях пострадали 56 детей и 8 погибли.</w:t>
      </w:r>
    </w:p>
    <w:p>
      <w:pPr>
        <w:pStyle w:val="Normal"/>
        <w:ind w:left="-709" w:hanging="0"/>
        <w:jc w:val="both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3028950" cy="2247900"/>
            <wp:effectExtent l="0" t="0" r="0" b="0"/>
            <wp:docPr id="3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/>
        <w:drawing>
          <wp:inline distT="0" distB="0" distL="0" distR="0">
            <wp:extent cx="3019425" cy="2247900"/>
            <wp:effectExtent l="0" t="0" r="0" b="0"/>
            <wp:docPr id="4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Normal"/>
        <w:ind w:left="-709"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причине нарушения ПДД РФ водителями автотранспортных средств количество ДТП увеличилось на 24,6% (157), количество раненых в них детей на 23% (176) и погибших на 1200% (87).</w:t>
      </w:r>
    </w:p>
    <w:p>
      <w:pPr>
        <w:pStyle w:val="Normal"/>
        <w:ind w:left="-709" w:firstLine="142"/>
        <w:jc w:val="both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6268720" cy="1657350"/>
            <wp:effectExtent l="0" t="0" r="0" b="0"/>
            <wp:docPr id="5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pStyle w:val="Normal"/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73% ДТП (151) произошли при ясной погоде и 27% (55)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В ясную погоду у водителей притупляется внимание из-за яркого солнца и жары.</w:t>
      </w:r>
    </w:p>
    <w:p>
      <w:pPr>
        <w:pStyle w:val="Normal"/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left="-709" w:hanging="0"/>
        <w:jc w:val="both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6219825" cy="1828800"/>
            <wp:effectExtent l="0" t="0" r="0" b="0"/>
            <wp:docPr id="6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Normal"/>
        <w:ind w:left="-709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80% (165) происшествий с участием несовершеннолетних произошли </w:t>
        <w:br/>
        <w:t xml:space="preserve">в период с 12 ч. 00 мин. до 22 ч. 00 мин., такая тенденция связана с активным пребыванием детей в это время на улице и интенсивностью транспорта. Максимальные значения аварийности зафиксированы с 15 до 18 ч. 00 мин. (68 ДТП, 68 ранены, </w:t>
        <w:br/>
        <w:t>3 погибли) и в период с 18 до 21 ч. 00 мин. (54 ДТП, 61 ранен, 5 погибли), когда дети возвращаются домой из образовательных организаций, лагерей, учреждений дополнительного образования, спортивных секций, мест проведения отдыха, находятся на улице и проезжей части без сопровождения взрослых.</w:t>
      </w:r>
    </w:p>
    <w:p>
      <w:pPr>
        <w:pStyle w:val="Normal"/>
        <w:ind w:left="-709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left="-709" w:hanging="0"/>
        <w:jc w:val="both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6096000" cy="1943100"/>
            <wp:effectExtent l="0" t="0" r="0" b="0"/>
            <wp:docPr id="7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pStyle w:val="Normal"/>
        <w:ind w:left="-709" w:hanging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ind w:left="-709" w:hanging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ind w:left="-709" w:hanging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ind w:left="-709" w:firstLine="426"/>
        <w:jc w:val="both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5762625" cy="2057400"/>
            <wp:effectExtent l="0" t="0" r="0" b="0"/>
            <wp:docPr id="8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pStyle w:val="Normal"/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left="-709" w:firstLine="720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автомобильных дорогах, расположенных в черте населенных пунктов, зарегистрировано 175 ДТП (+51%), в которых пострадали 186 (+50%) детей </w:t>
        <w:br/>
        <w:t xml:space="preserve">и 6 погибли (+100%). Увеличение количества ДТП в населенных пунктах произошло в </w:t>
      </w:r>
      <w:r>
        <w:rPr>
          <w:sz w:val="28"/>
          <w:szCs w:val="28"/>
        </w:rPr>
        <w:t>Екатеринбурге – 94 (+114%); Нижнем Тагиле – 14 (+7%); Каменске-Уральском – 8 (+100%); в Березовском и Серове по 5 (+400%); в Туринске -5 (+100%); Первоуральске -5 (+25%); Лесном 4 (+100%); в Артях -3 (+50%); в Верхней Салде, Заречном, Каменском районе, Карпинске, Краснотурьинске, Кушве,  Пригородном районе (Нижний Тагил) по 2 (+100%); в Артемовском, Красноуфимском и Тугулымском районах по 1 (+100%). На автомобильных дорогах вне населенных пунктов зарегистрировано 31 ДТП (-33%), травмированы 38 (-31%) детей и 9 погибли (+800%). Из них, на дорогах федерального значения зарегистрировано 9 ДТП (-31%), в которых пострадали 16 детей (-6%) и 2 погибли (+100%). На автомобильных дорогах регионального значения произошло 30 ДТП (-23%), в которых 30 (-32%) детей получили травмы различной степени тяжести и 8 погибли (+700%). На дорогах местного значения зарегистрировано 137 ДТП (+ 44%), в которых травмированы 148 (+48%) детей и 5 погибли (+100%).</w:t>
      </w:r>
    </w:p>
    <w:p>
      <w:pPr>
        <w:pStyle w:val="Normal"/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left="-709" w:firstLine="284"/>
        <w:jc w:val="both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5876925" cy="2030730"/>
            <wp:effectExtent l="0" t="0" r="0" b="0"/>
            <wp:docPr id="9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pStyle w:val="Normal"/>
        <w:ind w:left="-709" w:hanging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ind w:left="-709" w:firstLine="720"/>
        <w:jc w:val="both"/>
        <w:rPr>
          <w:color w:val="000000" w:themeColor="text1"/>
          <w:sz w:val="28"/>
          <w:szCs w:val="28"/>
        </w:rPr>
      </w:pPr>
      <w:r>
        <w:drawing>
          <wp:anchor behindDoc="0" distT="0" distB="3175" distL="114300" distR="114300" simplePos="0" locked="0" layoutInCell="1" allowOverlap="1" relativeHeight="3">
            <wp:simplePos x="0" y="0"/>
            <wp:positionH relativeFrom="column">
              <wp:posOffset>-414655</wp:posOffset>
            </wp:positionH>
            <wp:positionV relativeFrom="paragraph">
              <wp:posOffset>199390</wp:posOffset>
            </wp:positionV>
            <wp:extent cx="1657350" cy="1711325"/>
            <wp:effectExtent l="0" t="0" r="0" b="0"/>
            <wp:wrapSquare wrapText="bothSides"/>
            <wp:docPr id="10" name="Рисунок 7" descr="D:\Кравченко\Анализ ДДТТ\Картинки\ДУУ май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7" descr="D:\Кравченко\Анализ ДДТТ\Картинки\ДУУ май2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 w:val="28"/>
          <w:szCs w:val="28"/>
        </w:rPr>
        <w:t>П</w:t>
      </w:r>
      <w:r>
        <w:rPr>
          <w:b/>
          <w:color w:val="000000" w:themeColor="text1"/>
          <w:sz w:val="28"/>
          <w:szCs w:val="28"/>
        </w:rPr>
        <w:t>о категориям участников дорожного движения показатели распределились следующим образом</w:t>
      </w:r>
      <w:r>
        <w:rPr>
          <w:color w:val="000000" w:themeColor="text1"/>
          <w:sz w:val="28"/>
          <w:szCs w:val="28"/>
        </w:rPr>
        <w:t xml:space="preserve">: </w:t>
      </w:r>
    </w:p>
    <w:p>
      <w:pPr>
        <w:pStyle w:val="Normal"/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70AD47" w:themeColor="accent6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С участием </w:t>
      </w:r>
      <w:r>
        <w:rPr>
          <w:b/>
          <w:i/>
          <w:sz w:val="28"/>
          <w:szCs w:val="28"/>
        </w:rPr>
        <w:t>детей - пассажиров</w:t>
      </w:r>
      <w:r>
        <w:rPr>
          <w:sz w:val="28"/>
          <w:szCs w:val="28"/>
        </w:rPr>
        <w:t xml:space="preserve"> зарегистрировано 88 (89; -1%) ДТП, в которых пострадали 107 (102; +5%) детей и 11 (1; +1000%) погибли. Из них в возрасте до 12 лет травмированы 84 ребенка (+16,7%) и 10 погибли (+100%). </w:t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Доля ДТП с участием детей - пассажиров от общего показателя аварийности с участием детей составила 40%.</w:t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709" w:firstLine="426"/>
        <w:jc w:val="center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4114800" cy="1573530"/>
            <wp:effectExtent l="0" t="0" r="0" b="0"/>
            <wp:docPr id="11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9 случаях ДТП водители перевозили юных пассажиров в возрасте до 12 лет с нарушением правил перевозки детей, в этих авариях травмированы 10 несовершеннолетних (9; +11%) и 2 погибли (0; +100%): Екатеринбург 2 ДТП; Ревда, Реж, Нижний Тагил, Заречный, Новая Ляля, Первоуральск, Серов по – 1 ДТП. Троих детей перевозили в детских удерживающих устройствах, не соответствующих росту и весу юных пассажиров, еще девять - без детских удерживающих устройств и не пристегнутыми ремнями безопасности. При этом в 7 случаях нарушения перевозки детей допустили отцы.</w:t>
      </w:r>
    </w:p>
    <w:p>
      <w:pPr>
        <w:pStyle w:val="Normal"/>
        <w:ind w:left="-709" w:firstLine="425"/>
        <w:jc w:val="both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6120765" cy="2009775"/>
            <wp:effectExtent l="0" t="0" r="0" b="0"/>
            <wp:docPr id="1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>
      <w:pPr>
        <w:pStyle w:val="Normal"/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месту расположения в транспортном средстве большая часть пострадавших в момент ДТП находились на заднем пассажирском сидении справа (50) и слева (37).</w:t>
      </w:r>
    </w:p>
    <w:p>
      <w:pPr>
        <w:pStyle w:val="Normal"/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Подавляющее большинство происшествий, в которых пострадали дети-пассажиры - это столкновения транспортных средств (76; +10%), количество травмированных в них детей увеличилось на 15% (93), погибших на 100% (11). </w:t>
      </w:r>
    </w:p>
    <w:p>
      <w:pPr>
        <w:pStyle w:val="Normal"/>
        <w:ind w:left="-709"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Устойчивый рост количества ДТП с участием детей-пассажиров зарегистрирован с 10.00 до 20.00 (66 ДТП, 86 ранены и 8 погибли), с максимальными значениями аварийности в период с 17.00 до 21.00 (36 ДТП, 42 ранены, 5 погибли) и с 12.00 до 14.00 (21 ДТП, 32 ранены). Большинство аварий произошло в воскресенье (17 ДТП, 22 ранены, 5 погибли) и в субботу (16 ДТП, 20 ранены, 3 погибли).</w:t>
      </w:r>
    </w:p>
    <w:p>
      <w:pPr>
        <w:pStyle w:val="Normal"/>
        <w:ind w:left="-709" w:firstLine="720"/>
        <w:jc w:val="both"/>
        <w:rPr>
          <w:color w:val="000000" w:themeColor="text1"/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13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4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участием</w:t>
      </w:r>
      <w:r>
        <w:rPr>
          <w:b/>
          <w:i/>
          <w:sz w:val="28"/>
          <w:szCs w:val="28"/>
        </w:rPr>
        <w:t xml:space="preserve"> детей-пешеходов </w:t>
      </w:r>
      <w:r>
        <w:rPr>
          <w:sz w:val="28"/>
          <w:szCs w:val="28"/>
        </w:rPr>
        <w:t xml:space="preserve">зарегистрировано </w:t>
        <w:br/>
        <w:t xml:space="preserve">93 ДТП (54; +72%), в которых пострадали 93 (57; +63%) ребенка </w:t>
        <w:br/>
        <w:t xml:space="preserve">и 3 погибли (+100%). </w:t>
      </w:r>
      <w:r>
        <w:rPr>
          <w:color w:val="000000" w:themeColor="text1"/>
          <w:sz w:val="28"/>
          <w:szCs w:val="28"/>
        </w:rPr>
        <w:t>От общего показателя аварийности с участием несовершеннолетних доля ДТП с участием детей- пешеходов составила 42%.</w:t>
      </w:r>
    </w:p>
    <w:p>
      <w:pPr>
        <w:pStyle w:val="Normal"/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45% (42) увеличилось количество ДТП по собственной неосторожности несовершеннолетних пешеходов, в которых пострадал 41 ребенок (+41,4%) и 2 погибли (+100%).</w:t>
      </w:r>
    </w:p>
    <w:p>
      <w:pPr>
        <w:pStyle w:val="Normal"/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Каждый второй наезд на ребенка (36 ДТП) совершен на пешеходном переходе. В таких происшествиях травмированы 36 юных пешеходов (+80%). </w:t>
      </w:r>
    </w:p>
    <w:p>
      <w:pPr>
        <w:pStyle w:val="Normal"/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left="-709" w:firstLine="720"/>
        <w:jc w:val="center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5233670" cy="1695450"/>
            <wp:effectExtent l="0" t="0" r="0" b="0"/>
            <wp:docPr id="14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37,5% (11) увеличилось количество происшествий с детьми-пешеходами </w:t>
        <w:br/>
        <w:t xml:space="preserve">в темное время суток, когда одним из сопутствующих факторов ДТП стало отсутствие на верхней одежде или рюкзаке ребенка световозвращающих элементов. </w:t>
      </w:r>
    </w:p>
    <w:p>
      <w:pPr>
        <w:pStyle w:val="Normal"/>
        <w:ind w:left="-709"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Участниками каждого второго происшествия (53) стали дети-пешеходы в возрасте 8-9 лет (+330%) и 11-12 лет (+220%). Все наезды произошли в городах и населенных пунктах. Наибольшие показатели количества ДТП с участием детей-пешеходов зафиксированы во вторник (20 ДТП; +25%) и пятницу (16 ДТП; +78%), при этом на 275% выросло количество ДТП в понедельник (15%). </w:t>
      </w:r>
      <w:r>
        <w:rPr>
          <w:color w:val="000000" w:themeColor="text1"/>
          <w:sz w:val="28"/>
          <w:szCs w:val="28"/>
        </w:rPr>
        <w:t>Наименьшее количество наездов зарегистрированы в воск</w:t>
      </w:r>
      <w:r>
        <w:rPr>
          <w:sz w:val="28"/>
          <w:szCs w:val="28"/>
        </w:rPr>
        <w:t>ресенье (8 ДТП).  По времени совершения самым опасным является с 15 до 19 часов, в это время произошло 60% ДТП с участием юных пешеходов (55 ДТП, 54 ранены, 3 погибли), при этом максимальные значения зарегистрированы в период с 17 до 18 часов (18 ДТП, 1 погиб). Минимальное количество ДТП по времени совершения произошло в период с 11 до 12 и с 22 до 23 часов (по 1 ДТП). С 09 до 10 часов ДТП не зарегистрированы.</w:t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28 случаях ДТП (30%)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>
      <w:pPr>
        <w:pStyle w:val="Normal"/>
        <w:ind w:left="-709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социальным характеристикам семей, каждый пятый ребенок-пешеход, попавший в ДТП, воспитывается в неполной семье и воспитанием занимается только один родитель. В пяти случаях ДТП произошли с детьми из многодетных семей, когда ребенок находился в сопровождении братьев, либо сестер. В 17 случаях ДТП с детьми, родители которых не имеют постоянное место работы, в пяти – находящихся в декретном отпуске, либо отпуске по уходу за ребенком. Трое детей имеют отклонения в развитии, но при этом родители все равно отпускали их бесконтрольно гулять на улице.</w:t>
      </w:r>
    </w:p>
    <w:p>
      <w:pPr>
        <w:pStyle w:val="Normal"/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участием </w:t>
      </w:r>
      <w:r>
        <w:rPr>
          <w:b/>
          <w:i/>
          <w:color w:val="000000" w:themeColor="text1"/>
          <w:sz w:val="28"/>
          <w:szCs w:val="28"/>
        </w:rPr>
        <w:t>юных водителей велотранспорта</w:t>
      </w:r>
      <w:r>
        <w:rPr>
          <w:color w:val="000000" w:themeColor="text1"/>
          <w:sz w:val="28"/>
          <w:szCs w:val="28"/>
        </w:rPr>
        <w:t xml:space="preserve"> зарегистрировано 23 ДТП (+53,3%), в результате которых пострадали 23 ребенка (+53,3,5%), из них 11 пострадали по собственной неосторожности. При этом во всех случаях у детей отсутствовали средства пассивной защиты (шлем, налокотники, наколенники). </w:t>
      </w:r>
      <w:r>
        <w:rPr>
          <w:sz w:val="28"/>
          <w:szCs w:val="28"/>
        </w:rPr>
        <w:t>Участниками каждого второго случая (12) стали дети-велосипедисты в возрасте 8-9 лет (7; +250%) и 12-13 лет (5; +300%).</w:t>
      </w:r>
    </w:p>
    <w:p>
      <w:pPr>
        <w:pStyle w:val="Normal"/>
        <w:ind w:left="-709" w:firstLine="720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участием </w:t>
      </w:r>
      <w:r>
        <w:rPr>
          <w:b/>
          <w:i/>
          <w:color w:val="000000" w:themeColor="text1"/>
          <w:sz w:val="28"/>
          <w:szCs w:val="28"/>
        </w:rPr>
        <w:t>юных водителей мототранспорта</w:t>
      </w:r>
      <w:r>
        <w:rPr>
          <w:color w:val="000000" w:themeColor="text1"/>
          <w:sz w:val="28"/>
          <w:szCs w:val="28"/>
        </w:rPr>
        <w:t xml:space="preserve"> зарегистрировано 2 ДТП </w:t>
        <w:br/>
        <w:t>(-60%), в результате которых погиб один ребенок (+100%), еще один получил травмы. В обоих случаях дети пострадали по собственной неосторожности. В момент ДТП мотошлемы и защитная экипировка отсутствовали.</w:t>
      </w:r>
    </w:p>
    <w:p>
      <w:pPr>
        <w:pStyle w:val="Normal"/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left="-709" w:hanging="0"/>
        <w:jc w:val="center"/>
        <w:rPr>
          <w:color w:val="000000" w:themeColor="text1"/>
          <w:sz w:val="28"/>
          <w:szCs w:val="28"/>
        </w:rPr>
      </w:pPr>
      <w:r>
        <w:rPr/>
        <w:drawing>
          <wp:inline distT="0" distB="0" distL="0" distR="0">
            <wp:extent cx="5800725" cy="1323975"/>
            <wp:effectExtent l="0" t="0" r="0" b="0"/>
            <wp:docPr id="15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>
      <w:pPr>
        <w:pStyle w:val="Normal"/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>
      <w:pPr>
        <w:pStyle w:val="Normal"/>
        <w:ind w:left="-709" w:firstLine="720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Вина несовершеннолетних усматривается в 55 ДТП из 206 и составляет 26% от общего количества дорожных аварий с участием детей: Екатеринбург 29 </w:t>
        <w:br/>
        <w:t xml:space="preserve">(1 погиб; +93,3%), Арти, Краснотурьинск по 3 (+200%); Березовский, Заречный, Каменск-Уральский, Первоуральск, Реж (1 погиб) и Туринск по 2 (+100%); Нижние Серги, Тугулым по 1 (+100%); Нижний Тагил 2 (-60%); Богданович, Серов (1 погиб) по 1 (уровень АППГ), Красноуфимск 1 (-50%). Основными нарушениями ПДД РФ, допущенными юными пешеходами, стали переход проезжей части в неустановленном месте (22), неожиданный выход на проезжую часть из-за стоящего транспортного средства, сооружений или деревьев (12), неподчинение сигналам регулирования (5) и нахождение на проезжей части без цели перехода (1), иные нарушения ПДД пешеходами (2); детьми-велосипедистами – </w:t>
      </w:r>
      <w:r>
        <w:rPr>
          <w:color w:val="000000"/>
          <w:sz w:val="28"/>
          <w:szCs w:val="28"/>
        </w:rPr>
        <w:t>пересечение проезжей части дороги по пешеходному переходу, не спешившись</w:t>
      </w:r>
      <w:r>
        <w:rPr>
          <w:color w:val="000000" w:themeColor="text1"/>
          <w:sz w:val="28"/>
          <w:szCs w:val="28"/>
        </w:rPr>
        <w:t xml:space="preserve"> (5); </w:t>
      </w:r>
      <w:r>
        <w:rPr>
          <w:color w:val="000000"/>
          <w:sz w:val="28"/>
          <w:szCs w:val="28"/>
        </w:rPr>
        <w:t>не предоставление преимущества в движении при выезде с прилегающей территории, второстепенной дороги</w:t>
      </w:r>
      <w:r>
        <w:rPr>
          <w:color w:val="000000" w:themeColor="text1"/>
          <w:sz w:val="28"/>
          <w:szCs w:val="28"/>
        </w:rPr>
        <w:t xml:space="preserve"> (6).</w:t>
      </w:r>
    </w:p>
    <w:p>
      <w:pPr>
        <w:pStyle w:val="Normal"/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left="-709" w:firstLine="720"/>
        <w:jc w:val="both"/>
        <w:rPr>
          <w:color w:val="FF0000"/>
          <w:sz w:val="28"/>
          <w:szCs w:val="28"/>
        </w:rPr>
      </w:pPr>
      <w:r>
        <w:rPr/>
        <w:drawing>
          <wp:inline distT="0" distB="0" distL="0" distR="0">
            <wp:extent cx="5800725" cy="2609850"/>
            <wp:effectExtent l="0" t="0" r="0" b="0"/>
            <wp:docPr id="16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>
      <w:pPr>
        <w:pStyle w:val="Normal"/>
        <w:ind w:left="-709"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ind w:left="-709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709"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ind w:left="-709" w:hanging="0"/>
        <w:jc w:val="both"/>
        <w:rPr/>
      </w:pPr>
      <w:r>
        <w:rPr>
          <w:i/>
          <w:sz w:val="28"/>
          <w:szCs w:val="28"/>
        </w:rPr>
        <w:t>УГИБДД ГУ МВД России по Свердловской области</w:t>
      </w:r>
    </w:p>
    <w:sectPr>
      <w:headerReference w:type="default" r:id="rId18"/>
      <w:type w:val="nextPage"/>
      <w:pgSz w:w="11906" w:h="16838"/>
      <w:pgMar w:left="1701" w:right="566" w:header="708" w:top="851" w:footer="0" w:bottom="56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Segoe UI">
    <w:charset w:val="01"/>
    <w:family w:val="swiss"/>
    <w:pitch w:val="default"/>
  </w:font>
  <w:font w:name="PT Sans">
    <w:charset w:val="01"/>
    <w:family w:val="swiss"/>
    <w:pitch w:val="default"/>
  </w:font>
  <w:font w:name="SchoolBook">
    <w:charset w:val="01"/>
    <w:family w:val="swiss"/>
    <w:pitch w:val="default"/>
  </w:font>
  <w:font w:name="Arial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575127611"/>
    </w:sdtPr>
    <w:sdtContent>
      <w:p>
        <w:pPr>
          <w:pStyle w:val="Style27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9</w:t>
        </w:r>
        <w:r>
          <w:rPr/>
          <w:fldChar w:fldCharType="end"/>
        </w:r>
      </w:p>
    </w:sdtContent>
  </w:sdt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f785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4"/>
    <w:qFormat/>
    <w:rsid w:val="00ed32fc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627155"/>
    <w:rPr>
      <w:rFonts w:ascii="Segoe UI" w:hAnsi="Segoe UI" w:eastAsia="Times New Roman" w:cs="Segoe UI"/>
      <w:sz w:val="18"/>
      <w:szCs w:val="18"/>
      <w:lang w:eastAsia="ru-RU"/>
    </w:rPr>
  </w:style>
  <w:style w:type="character" w:styleId="Style16" w:customStyle="1">
    <w:name w:val="Текст сноски Знак"/>
    <w:basedOn w:val="DefaultParagraphFont"/>
    <w:link w:val="a8"/>
    <w:semiHidden/>
    <w:qFormat/>
    <w:rsid w:val="00874a5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874a55"/>
    <w:rPr>
      <w:vertAlign w:val="superscript"/>
    </w:rPr>
  </w:style>
  <w:style w:type="character" w:styleId="2" w:customStyle="1">
    <w:name w:val="Основной текст (2)_"/>
    <w:link w:val="21"/>
    <w:uiPriority w:val="99"/>
    <w:qFormat/>
    <w:rsid w:val="00df5b6b"/>
    <w:rPr>
      <w:sz w:val="28"/>
      <w:szCs w:val="28"/>
      <w:shd w:fill="FFFFFF" w:val="clear"/>
    </w:rPr>
  </w:style>
  <w:style w:type="character" w:styleId="Style18">
    <w:name w:val="Выделение"/>
    <w:qFormat/>
    <w:rsid w:val="00df5b6b"/>
    <w:rPr>
      <w:i/>
      <w:iCs/>
    </w:rPr>
  </w:style>
  <w:style w:type="character" w:styleId="Style19" w:customStyle="1">
    <w:name w:val="Верхний колонтитул Знак"/>
    <w:basedOn w:val="DefaultParagraphFont"/>
    <w:link w:val="ae"/>
    <w:uiPriority w:val="99"/>
    <w:qFormat/>
    <w:rsid w:val="006332c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0" w:customStyle="1">
    <w:name w:val="Нижний колонтитул Знак"/>
    <w:basedOn w:val="DefaultParagraphFont"/>
    <w:link w:val="af0"/>
    <w:uiPriority w:val="99"/>
    <w:qFormat/>
    <w:rsid w:val="006332c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istLabel1">
    <w:name w:val="ListLabel 1"/>
    <w:qFormat/>
    <w:rPr>
      <w:color w:val="auto"/>
    </w:rPr>
  </w:style>
  <w:style w:type="character" w:styleId="ListLabel2">
    <w:name w:val="ListLabel 2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3">
    <w:name w:val="ListLabel 3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4">
    <w:name w:val="ListLabel 4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5">
    <w:name w:val="ListLabel 5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6">
    <w:name w:val="ListLabel 6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7">
    <w:name w:val="ListLabel 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8">
    <w:name w:val="ListLabel 8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9">
    <w:name w:val="ListLabel 9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0">
    <w:name w:val="ListLabel 10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1">
    <w:name w:val="ListLabel 11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6"/>
      <w:u w:val="none"/>
    </w:rPr>
  </w:style>
  <w:style w:type="character" w:styleId="ListLabel12">
    <w:name w:val="ListLabel 12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3">
    <w:name w:val="ListLabel 13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4">
    <w:name w:val="ListLabel 14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5">
    <w:name w:val="ListLabel 15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6">
    <w:name w:val="ListLabel 16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7">
    <w:name w:val="ListLabel 1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8">
    <w:name w:val="ListLabel 18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ListLabel19">
    <w:name w:val="ListLabel 19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2">
    <w:name w:val="Body Text"/>
    <w:basedOn w:val="Normal"/>
    <w:link w:val="a5"/>
    <w:rsid w:val="00ed32fc"/>
    <w:pPr>
      <w:jc w:val="center"/>
    </w:pPr>
    <w:rPr>
      <w:b/>
      <w:bCs/>
      <w:i/>
      <w:iCs/>
      <w:sz w:val="26"/>
      <w:szCs w:val="26"/>
    </w:rPr>
  </w:style>
  <w:style w:type="paragraph" w:styleId="Style23">
    <w:name w:val="List"/>
    <w:basedOn w:val="Style22"/>
    <w:pPr/>
    <w:rPr>
      <w:rFonts w:ascii="PT Sans" w:hAnsi="PT Sans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NoSpacing">
    <w:name w:val="No Spacing"/>
    <w:uiPriority w:val="1"/>
    <w:qFormat/>
    <w:rsid w:val="00bf785c"/>
    <w:pPr>
      <w:widowControl/>
      <w:bidi w:val="0"/>
      <w:spacing w:lineRule="auto" w:line="240" w:before="0" w:after="0"/>
      <w:jc w:val="left"/>
    </w:pPr>
    <w:rPr>
      <w:rFonts w:ascii="SchoolBook" w:hAnsi="SchoolBook" w:eastAsia="Calibri" w:cs="Times New Roman" w:eastAsiaTheme="minorHAnsi"/>
      <w:color w:val="auto"/>
      <w:kern w:val="0"/>
      <w:sz w:val="28"/>
      <w:szCs w:val="28"/>
      <w:lang w:val="ru-RU" w:eastAsia="en-US" w:bidi="ar-SA"/>
    </w:rPr>
  </w:style>
  <w:style w:type="paragraph" w:styleId="Default" w:customStyle="1">
    <w:name w:val="Default"/>
    <w:qFormat/>
    <w:rsid w:val="00ed32f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627155"/>
    <w:pPr/>
    <w:rPr>
      <w:rFonts w:ascii="Segoe UI" w:hAnsi="Segoe UI" w:cs="Segoe UI"/>
      <w:sz w:val="18"/>
      <w:szCs w:val="18"/>
    </w:rPr>
  </w:style>
  <w:style w:type="paragraph" w:styleId="Style26">
    <w:name w:val="Footnote Text"/>
    <w:basedOn w:val="Normal"/>
    <w:link w:val="a9"/>
    <w:semiHidden/>
    <w:unhideWhenUsed/>
    <w:rsid w:val="00874a55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a6682"/>
    <w:pPr>
      <w:spacing w:before="0" w:after="0"/>
      <w:ind w:left="720" w:hanging="0"/>
      <w:contextualSpacing/>
    </w:pPr>
    <w:rPr/>
  </w:style>
  <w:style w:type="paragraph" w:styleId="21" w:customStyle="1">
    <w:name w:val="Основной текст (2)1"/>
    <w:basedOn w:val="Normal"/>
    <w:link w:val="2"/>
    <w:uiPriority w:val="99"/>
    <w:qFormat/>
    <w:rsid w:val="00df5b6b"/>
    <w:pPr>
      <w:widowControl w:val="false"/>
      <w:shd w:val="clear" w:color="auto" w:fill="FFFFFF"/>
      <w:spacing w:lineRule="exact" w:line="322"/>
    </w:pPr>
    <w:rPr>
      <w:rFonts w:ascii="Calibri" w:hAnsi="Calibri" w:eastAsia="Calibri" w:cs="" w:asciiTheme="minorHAnsi" w:cstheme="minorBidi" w:eastAsiaTheme="minorHAnsi" w:hAnsiTheme="minorHAnsi"/>
      <w:sz w:val="28"/>
      <w:szCs w:val="28"/>
      <w:lang w:eastAsia="en-US"/>
    </w:rPr>
  </w:style>
  <w:style w:type="paragraph" w:styleId="Style27">
    <w:name w:val="Header"/>
    <w:basedOn w:val="Normal"/>
    <w:link w:val="af"/>
    <w:uiPriority w:val="99"/>
    <w:unhideWhenUsed/>
    <w:rsid w:val="006332cd"/>
    <w:pPr>
      <w:tabs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af1"/>
    <w:uiPriority w:val="99"/>
    <w:unhideWhenUsed/>
    <w:rsid w:val="006332cd"/>
    <w:pPr>
      <w:tabs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b37053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chart" Target="charts/chart2.xml"/><Relationship Id="rId4" Type="http://schemas.openxmlformats.org/officeDocument/2006/relationships/chart" Target="charts/chart3.xml"/><Relationship Id="rId5" Type="http://schemas.openxmlformats.org/officeDocument/2006/relationships/chart" Target="charts/chart4.xml"/><Relationship Id="rId6" Type="http://schemas.openxmlformats.org/officeDocument/2006/relationships/chart" Target="charts/chart5.xml"/><Relationship Id="rId7" Type="http://schemas.openxmlformats.org/officeDocument/2006/relationships/chart" Target="charts/chart6.xml"/><Relationship Id="rId8" Type="http://schemas.openxmlformats.org/officeDocument/2006/relationships/chart" Target="charts/chart7.xml"/><Relationship Id="rId9" Type="http://schemas.openxmlformats.org/officeDocument/2006/relationships/chart" Target="charts/chart8.xml"/><Relationship Id="rId10" Type="http://schemas.openxmlformats.org/officeDocument/2006/relationships/chart" Target="charts/chart9.xml"/><Relationship Id="rId11" Type="http://schemas.openxmlformats.org/officeDocument/2006/relationships/image" Target="media/image1.jpeg"/><Relationship Id="rId12" Type="http://schemas.openxmlformats.org/officeDocument/2006/relationships/chart" Target="charts/chart10.xml"/><Relationship Id="rId13" Type="http://schemas.openxmlformats.org/officeDocument/2006/relationships/chart" Target="charts/chart11.xml"/><Relationship Id="rId14" Type="http://schemas.openxmlformats.org/officeDocument/2006/relationships/image" Target="media/image2.jpeg"/><Relationship Id="rId15" Type="http://schemas.openxmlformats.org/officeDocument/2006/relationships/chart" Target="charts/chart12.xml"/><Relationship Id="rId16" Type="http://schemas.openxmlformats.org/officeDocument/2006/relationships/chart" Target="charts/chart13.xml"/><Relationship Id="rId17" Type="http://schemas.openxmlformats.org/officeDocument/2006/relationships/chart" Target="charts/chart14.xml"/><Relationship Id="rId18" Type="http://schemas.openxmlformats.org/officeDocument/2006/relationships/header" Target="header1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<Relationship Id="rId22" Type="http://schemas.openxmlformats.org/officeDocument/2006/relationships/customXml" Target="../customXml/item1.xml"/>
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1.xlsx"/>
</Relationships>
</file>

<file path=word/charts/_rels/chart10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10.xlsx"/>
</Relationships>
</file>

<file path=word/charts/_rels/chart11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11.xlsx"/>
</Relationships>
</file>

<file path=word/charts/_rels/chart12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12.xlsx"/>
</Relationships>
</file>

<file path=word/charts/_rels/chart13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13.xlsx"/>
</Relationships>
</file>

<file path=word/charts/_rels/chart14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14.xlsx"/>
</Relationships>
</file>

<file path=word/charts/_rels/chart2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2.xlsx"/>
</Relationships>
</file>

<file path=word/charts/_rels/chart3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3.xlsx"/>
</Relationships>
</file>

<file path=word/charts/_rels/chart4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4.xlsx"/>
</Relationships>
</file>

<file path=word/charts/_rels/chart5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5.xlsx"/>
</Relationships>
</file>

<file path=word/charts/_rels/chart6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6.xlsx"/>
</Relationships>
</file>

<file path=word/charts/_rels/chart7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7.xlsx"/>
</Relationships>
</file>

<file path=word/charts/_rels/chart8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8.xlsx"/>
</Relationships>
</file>

<file path=word/charts/_rels/chart9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9.xlsx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view3D>
      <c:rotX val="15"/>
      <c:rotY val="20"/>
      <c:rAngAx val="1"/>
      <c:perspective val="30"/>
    </c:view3D>
    <c:floor>
      <c:spPr>
        <a:noFill/>
        <a:ln w="6480">
          <a:noFill/>
        </a:ln>
      </c:spPr>
    </c:floor>
    <c:sideWall>
      <c:spPr>
        <a:noFill/>
        <a:ln w="6480">
          <a:noFill/>
        </a:ln>
      </c:spPr>
    </c:sideWall>
    <c:backWall>
      <c:spPr>
        <a:noFill/>
        <a:ln w="6480">
          <a:noFill/>
        </a:ln>
      </c:spPr>
    </c:backWall>
    <c:plotArea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invertIfNegative val="0"/>
          <c:dLbls>
            <c:numFmt formatCode="General" sourceLinked="1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162</c:v>
                </c:pt>
                <c:pt idx="1">
                  <c:v>1</c:v>
                </c:pt>
                <c:pt idx="2">
                  <c:v>179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</c:spPr>
          <c:invertIfNegative val="0"/>
          <c:dLbls>
            <c:numFmt formatCode="General" sourceLinked="1"/>
            <c:dLbl>
              <c:idx val="0"/>
              <c:showLegendKey val="0"/>
              <c:showVal val="1"/>
              <c:showCatName val="0"/>
              <c:showSerName val="0"/>
              <c:showPercent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</c:dLbl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3"/>
                <c:pt idx="0">
                  <c:v>206</c:v>
                </c:pt>
                <c:pt idx="1">
                  <c:v>15</c:v>
                </c:pt>
                <c:pt idx="2">
                  <c:v>224</c:v>
                </c:pt>
              </c:numCache>
            </c:numRef>
          </c:val>
        </c:ser>
        <c:gapWidth val="150"/>
        <c:shape val="box"/>
        <c:axId val="61467865"/>
        <c:axId val="75579652"/>
        <c:axId val="0"/>
      </c:bar3DChart>
      <c:catAx>
        <c:axId val="61467865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75579652"/>
        <c:crosses val="autoZero"/>
        <c:auto val="1"/>
        <c:lblAlgn val="ctr"/>
        <c:lblOffset val="100"/>
      </c:catAx>
      <c:valAx>
        <c:axId val="75579652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61467865"/>
        <c:crosses val="autoZero"/>
      </c:valAx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Пассажиры</a:t>
            </a:r>
          </a:p>
        </c:rich>
      </c:tx>
      <c:overlay val="0"/>
    </c:title>
    <c:autoTitleDeleted val="0"/>
    <c:plotArea>
      <c:doughnut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Пассажиры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explosion val="0"/>
          <c:dPt>
            <c:idx val="0"/>
            <c:spPr>
              <a:solidFill>
                <a:srgbClr val="c00000"/>
              </a:solidFill>
              <a:ln w="19080">
                <a:solidFill>
                  <a:srgbClr val="ffffff"/>
                </a:solidFill>
                <a:round/>
              </a:ln>
            </c:spPr>
          </c:dPt>
          <c:dPt>
            <c:idx val="1"/>
            <c:spPr>
              <a:solidFill>
                <a:srgbClr val="ffc000"/>
              </a:solidFill>
              <a:ln w="19080">
                <a:solidFill>
                  <a:srgbClr val="ffffff"/>
                </a:solidFill>
                <a:round/>
              </a:ln>
            </c:spPr>
          </c:dPt>
          <c:dLbls>
            <c:numFmt formatCode="General" sourceLinked="1"/>
            <c:dLbl>
              <c:idx val="0"/>
              <c:showLegendKey val="0"/>
              <c:showVal val="0"/>
              <c:showCatName val="0"/>
              <c:showSerName val="0"/>
              <c:showPercent val="1"/>
            </c:dLbl>
            <c:dLbl>
              <c:idx val="1"/>
              <c:showLegendKey val="0"/>
              <c:showVal val="0"/>
              <c:showCatName val="0"/>
              <c:showSerName val="0"/>
              <c:showPercent val="1"/>
            </c:dLbl>
            <c:showLegendKey val="0"/>
            <c:showVal val="0"/>
            <c:showCatName val="0"/>
            <c:showSerName val="0"/>
            <c:showPercent val="1"/>
            <c:showLeaderLines val="0"/>
          </c:dLbls>
          <c:cat>
            <c:strRef>
              <c:f>categories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10</c:v>
                </c:pt>
                <c:pt idx="1">
                  <c:v>90</c:v>
                </c:pt>
              </c:numCache>
            </c:numRef>
          </c:val>
        </c:ser>
        <c:firstSliceAng val="0"/>
        <c:holeSize val="50"/>
      </c:doughnutChart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Расположение детей в транспортном средстве</a:t>
            </a:r>
          </a:p>
        </c:rich>
      </c:tx>
      <c:overlay val="0"/>
    </c:title>
    <c:autoTitleDeleted val="0"/>
    <c:plotArea>
      <c:pie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explosion val="0"/>
          <c:dPt>
            <c:idx val="0"/>
            <c:spPr>
              <a:solidFill>
                <a:srgbClr val="5b9bd5"/>
              </a:solidFill>
              <a:ln w="19080">
                <a:solidFill>
                  <a:srgbClr val="ffffff"/>
                </a:solidFill>
                <a:round/>
              </a:ln>
            </c:spPr>
          </c:dPt>
          <c:dPt>
            <c:idx val="1"/>
            <c:spPr>
              <a:solidFill>
                <a:srgbClr val="ed7d31"/>
              </a:solidFill>
              <a:ln w="19080">
                <a:solidFill>
                  <a:srgbClr val="ffffff"/>
                </a:solidFill>
                <a:round/>
              </a:ln>
            </c:spPr>
          </c:dPt>
          <c:dPt>
            <c:idx val="2"/>
            <c:spPr>
              <a:solidFill>
                <a:srgbClr val="a5a5a5"/>
              </a:solidFill>
              <a:ln w="19080">
                <a:solidFill>
                  <a:srgbClr val="ffffff"/>
                </a:solidFill>
                <a:round/>
              </a:ln>
            </c:spPr>
          </c:dPt>
          <c:dPt>
            <c:idx val="3"/>
            <c:spPr>
              <a:solidFill>
                <a:srgbClr val="ffc000"/>
              </a:solidFill>
              <a:ln w="19080">
                <a:solidFill>
                  <a:srgbClr val="ffffff"/>
                </a:solidFill>
                <a:round/>
              </a:ln>
            </c:spPr>
          </c:dPt>
          <c:dPt>
            <c:idx val="4"/>
            <c:spPr>
              <a:solidFill>
                <a:srgbClr val="4472c4"/>
              </a:solidFill>
              <a:ln w="19080">
                <a:solidFill>
                  <a:srgbClr val="ffffff"/>
                </a:solidFill>
                <a:round/>
              </a:ln>
            </c:spPr>
          </c:dPt>
          <c:dPt>
            <c:idx val="5"/>
            <c:spPr>
              <a:solidFill>
                <a:srgbClr val="70ad47"/>
              </a:solidFill>
              <a:ln w="19080">
                <a:solidFill>
                  <a:srgbClr val="ffffff"/>
                </a:solidFill>
                <a:round/>
              </a:ln>
            </c:spPr>
          </c:dPt>
          <c:dLbls>
            <c:numFmt formatCode="General" sourceLinked="1"/>
            <c:dLbl>
              <c:idx val="0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2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3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4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5"/>
              <c:dLblPos val="bestFit"/>
              <c:showLegendKey val="0"/>
              <c:showVal val="1"/>
              <c:showCatName val="1"/>
              <c:showSerName val="0"/>
              <c:showPercent val="0"/>
            </c:dLbl>
            <c:dLblPos val="bestFit"/>
            <c:showLegendKey val="0"/>
            <c:showVal val="1"/>
            <c:showCatName val="1"/>
            <c:showSerName val="0"/>
            <c:showPercent val="0"/>
            <c:showLeaderLines val="0"/>
          </c:dLbls>
          <c:cat>
            <c:strRef>
              <c:f>categories</c:f>
              <c:strCache>
                <c:ptCount val="6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общ.т/с</c:v>
                </c:pt>
                <c:pt idx="5">
                  <c:v>иное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6"/>
                <c:pt idx="0">
                  <c:v>50</c:v>
                </c:pt>
                <c:pt idx="1">
                  <c:v>37</c:v>
                </c:pt>
                <c:pt idx="2">
                  <c:v>7</c:v>
                </c:pt>
                <c:pt idx="3">
                  <c:v>17</c:v>
                </c:pt>
                <c:pt idx="4">
                  <c:v>3</c:v>
                </c:pt>
                <c:pt idx="5">
                  <c:v>4</c:v>
                </c:pt>
              </c:numCache>
            </c:numRef>
          </c:val>
        </c:ser>
        <c:firstSliceAng val="0"/>
      </c:pieChart>
      <c:spPr>
        <a:noFill/>
        <a:ln>
          <a:noFill/>
        </a:ln>
      </c:spPr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ДТП на пешеходных переходах</a:t>
            </a:r>
          </a:p>
        </c:rich>
      </c:tx>
      <c:overlay val="0"/>
    </c:title>
    <c:autoTitleDeleted val="0"/>
    <c:plotArea>
      <c:pie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explosion val="0"/>
          <c:dPt>
            <c:idx val="0"/>
            <c:explosion val="8"/>
            <c:spPr>
              <a:solidFill>
                <a:srgbClr val="70ad47"/>
              </a:solidFill>
              <a:ln w="19080">
                <a:solidFill>
                  <a:srgbClr val="ffffff"/>
                </a:solidFill>
                <a:round/>
              </a:ln>
            </c:spPr>
          </c:dPt>
          <c:dPt>
            <c:idx val="1"/>
            <c:spPr>
              <a:solidFill>
                <a:srgbClr val="4472c4"/>
              </a:solidFill>
              <a:ln w="19080">
                <a:solidFill>
                  <a:srgbClr val="ffffff"/>
                </a:solidFill>
                <a:round/>
              </a:ln>
            </c:spPr>
          </c:dPt>
          <c:dLbls>
            <c:numFmt formatCode="General" sourceLinked="1"/>
            <c:dLbl>
              <c:idx val="0"/>
              <c:dLblPos val="bestFit"/>
              <c:showLegendKey val="0"/>
              <c:showVal val="1"/>
              <c:showCatName val="0"/>
              <c:showSerName val="0"/>
              <c:showPercent val="0"/>
            </c:dLbl>
            <c:dLbl>
              <c:idx val="1"/>
              <c:dLblPos val="bestFit"/>
              <c:showLegendKey val="0"/>
              <c:showVal val="1"/>
              <c:showCatName val="0"/>
              <c:showSerName val="0"/>
              <c:showPercent val="0"/>
            </c:dLbl>
            <c:dLblPos val="bestFit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20</c:v>
                </c:pt>
                <c:pt idx="1">
                  <c:v>16</c:v>
                </c:pt>
              </c:numCache>
            </c:numRef>
          </c:val>
        </c:ser>
        <c:firstSliceAng val="0"/>
      </c:pieChart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ДТП по категориям участников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spPr>
        <a:solidFill>
          <a:srgbClr val="d9d9d9"/>
        </a:solidFill>
        <a:ln>
          <a:noFill/>
        </a:ln>
      </c:spPr>
    </c:floor>
    <c:sideWall>
      <c:spPr>
        <a:solidFill>
          <a:srgbClr val="d9d9d9"/>
        </a:solidFill>
        <a:ln>
          <a:noFill/>
        </a:ln>
      </c:spPr>
    </c:sideWall>
    <c:backWall>
      <c:spPr>
        <a:solidFill>
          <a:srgbClr val="d9d9d9"/>
        </a:solidFill>
        <a:ln>
          <a:noFill/>
        </a:ln>
      </c:spPr>
    </c:backWall>
    <c:plotArea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explosion val="0"/>
          <c:dPt>
            <c:idx val="0"/>
            <c:spPr>
              <a:solidFill>
                <a:srgbClr val="5b9bd5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"/>
            <c:spPr>
              <a:solidFill>
                <a:srgbClr val="ed7d31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2"/>
            <c:spPr>
              <a:solidFill>
                <a:srgbClr val="a5a5a5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3"/>
            <c:spPr>
              <a:solidFill>
                <a:srgbClr val="ffc000"/>
              </a:solidFill>
              <a:ln w="25560">
                <a:solidFill>
                  <a:srgbClr val="ffffff"/>
                </a:solidFill>
                <a:round/>
              </a:ln>
            </c:spPr>
          </c:dPt>
          <c:dLbls>
            <c:numFmt formatCode="General" sourceLinked="1"/>
            <c:dLbl>
              <c:idx val="0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2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3"/>
              <c:dLblPos val="bestFit"/>
              <c:showLegendKey val="0"/>
              <c:showVal val="1"/>
              <c:showCatName val="1"/>
              <c:showSerName val="0"/>
              <c:showPercent val="0"/>
            </c:dLbl>
            <c:dLblPos val="bestFit"/>
            <c:showLegendKey val="0"/>
            <c:showVal val="1"/>
            <c:showCatName val="1"/>
            <c:showSerName val="0"/>
            <c:showPercent val="0"/>
            <c:showLeaderLines val="0"/>
          </c:dLbls>
          <c:cat>
            <c:strRef>
              <c:f>categories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88</c:v>
                </c:pt>
                <c:pt idx="1">
                  <c:v>93</c:v>
                </c:pt>
                <c:pt idx="2">
                  <c:v>23</c:v>
                </c:pt>
                <c:pt idx="3">
                  <c:v>2</c:v>
                </c:pt>
              </c:numCache>
            </c:numRef>
          </c:val>
        </c:ser>
      </c:pie3DChart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ДТП по собственной неосторожности детей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spPr>
        <a:solidFill>
          <a:srgbClr val="d9d9d9"/>
        </a:solidFill>
        <a:ln>
          <a:noFill/>
        </a:ln>
      </c:spPr>
    </c:floor>
    <c:sideWall>
      <c:spPr>
        <a:solidFill>
          <a:srgbClr val="d9d9d9"/>
        </a:solidFill>
        <a:ln>
          <a:noFill/>
        </a:ln>
      </c:spPr>
    </c:sideWall>
    <c:backWall>
      <c:spPr>
        <a:solidFill>
          <a:srgbClr val="d9d9d9"/>
        </a:solidFill>
        <a:ln>
          <a:noFill/>
        </a:ln>
      </c:spPr>
    </c:backWall>
    <c:plotArea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explosion val="0"/>
          <c:dPt>
            <c:idx val="0"/>
            <c:spPr>
              <a:solidFill>
                <a:srgbClr val="5b9bd5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"/>
            <c:spPr>
              <a:solidFill>
                <a:srgbClr val="ed7d31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2"/>
            <c:spPr>
              <a:solidFill>
                <a:srgbClr val="a5a5a5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3"/>
            <c:spPr>
              <a:solidFill>
                <a:srgbClr val="ffc000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4"/>
            <c:spPr>
              <a:solidFill>
                <a:srgbClr val="4472c4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5"/>
            <c:spPr>
              <a:solidFill>
                <a:srgbClr val="70ad47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6"/>
            <c:spPr>
              <a:solidFill>
                <a:srgbClr val="255e91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7"/>
            <c:spPr>
              <a:solidFill>
                <a:srgbClr val="9e480e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8"/>
            <c:spPr>
              <a:solidFill>
                <a:srgbClr val="636363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9"/>
            <c:spPr>
              <a:solidFill>
                <a:srgbClr val="997300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0"/>
            <c:spPr>
              <a:solidFill>
                <a:srgbClr val="264478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1"/>
            <c:spPr>
              <a:solidFill>
                <a:srgbClr val="43682b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2"/>
            <c:spPr>
              <a:solidFill>
                <a:srgbClr val="7cafdd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3"/>
            <c:spPr>
              <a:solidFill>
                <a:srgbClr val="f1975a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4"/>
            <c:spPr>
              <a:solidFill>
                <a:srgbClr val="b7b7b7"/>
              </a:solidFill>
              <a:ln w="25560">
                <a:solidFill>
                  <a:srgbClr val="ffffff"/>
                </a:solidFill>
                <a:round/>
              </a:ln>
            </c:spPr>
          </c:dPt>
          <c:dLbls>
            <c:numFmt formatCode="General" sourceLinked="1"/>
            <c:dLbl>
              <c:idx val="0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2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3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4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5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6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7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8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9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0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1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2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3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4"/>
              <c:dLblPos val="bestFit"/>
              <c:showLegendKey val="0"/>
              <c:showVal val="1"/>
              <c:showCatName val="1"/>
              <c:showSerName val="0"/>
              <c:showPercent val="0"/>
            </c:dLbl>
            <c:dLblPos val="bestFit"/>
            <c:showLegendKey val="0"/>
            <c:showVal val="1"/>
            <c:showCatName val="1"/>
            <c:showSerName val="0"/>
            <c:showPercent val="0"/>
            <c:showLeaderLines val="0"/>
          </c:dLbls>
          <c:cat>
            <c:strRef>
              <c:f>categories</c:f>
              <c:strCache>
                <c:ptCount val="15"/>
                <c:pt idx="0">
                  <c:v>Красноуфимск</c:v>
                </c:pt>
                <c:pt idx="1">
                  <c:v>Тугулым</c:v>
                </c:pt>
                <c:pt idx="2">
                  <c:v>Серов</c:v>
                </c:pt>
                <c:pt idx="3">
                  <c:v>Нижние Серги</c:v>
                </c:pt>
                <c:pt idx="4">
                  <c:v>Богданович</c:v>
                </c:pt>
                <c:pt idx="5">
                  <c:v>Туринск</c:v>
                </c:pt>
                <c:pt idx="6">
                  <c:v>Реж</c:v>
                </c:pt>
                <c:pt idx="7">
                  <c:v>Первоуральск</c:v>
                </c:pt>
                <c:pt idx="8">
                  <c:v>Березовский</c:v>
                </c:pt>
                <c:pt idx="9">
                  <c:v>Нижний Тагил</c:v>
                </c:pt>
                <c:pt idx="10">
                  <c:v>Каменск-Уральский</c:v>
                </c:pt>
                <c:pt idx="11">
                  <c:v>Заречный</c:v>
                </c:pt>
                <c:pt idx="12">
                  <c:v>Краснотурьинск</c:v>
                </c:pt>
                <c:pt idx="13">
                  <c:v>Арти</c:v>
                </c:pt>
                <c:pt idx="14">
                  <c:v>Екатеринбург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3</c:v>
                </c:pt>
                <c:pt idx="12">
                  <c:v>3</c:v>
                </c:pt>
                <c:pt idx="13">
                  <c:v>3</c:v>
                </c:pt>
                <c:pt idx="14">
                  <c:v>29</c:v>
                </c:pt>
              </c:numCache>
            </c:numRef>
          </c:val>
        </c:ser>
      </c:pie3DChart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2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200" spc="-1" strike="noStrike">
                <a:solidFill>
                  <a:srgbClr val="595959"/>
                </a:solidFill>
                <a:latin typeface="Calibri"/>
              </a:rPr>
              <a:t>Территории, где зарегистрирован рост ДТП</a:t>
            </a:r>
          </a:p>
        </c:rich>
      </c:tx>
      <c:overlay val="0"/>
    </c:title>
    <c:autoTitleDeleted val="0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rgbClr val="ed7d31"/>
            </a:solidFill>
            <a:ln w="19080">
              <a:solidFill>
                <a:srgbClr val="ffffff"/>
              </a:solidFill>
              <a:round/>
            </a:ln>
          </c:spPr>
          <c:invertIfNegative val="0"/>
          <c:dLbls>
            <c:numFmt formatCode="General" sourceLinked="1"/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</c:dLbl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15"/>
                <c:pt idx="0">
                  <c:v>Тугулымский</c:v>
                </c:pt>
                <c:pt idx="1">
                  <c:v>Ревдинский</c:v>
                </c:pt>
                <c:pt idx="2">
                  <c:v>Артемовский</c:v>
                </c:pt>
                <c:pt idx="3">
                  <c:v>Кушвинский</c:v>
                </c:pt>
                <c:pt idx="4">
                  <c:v>Верхнесалдинский</c:v>
                </c:pt>
                <c:pt idx="5">
                  <c:v>Лесной</c:v>
                </c:pt>
                <c:pt idx="6">
                  <c:v>Артинский</c:v>
                </c:pt>
                <c:pt idx="7">
                  <c:v>Красноуфимский</c:v>
                </c:pt>
                <c:pt idx="8">
                  <c:v>Туринский</c:v>
                </c:pt>
                <c:pt idx="9">
                  <c:v>Серовский</c:v>
                </c:pt>
                <c:pt idx="10">
                  <c:v>Березовский</c:v>
                </c:pt>
                <c:pt idx="11">
                  <c:v>Краснотурьинский</c:v>
                </c:pt>
                <c:pt idx="12">
                  <c:v>Первоуральский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2</c:v>
                </c:pt>
                <c:pt idx="7">
                  <c:v>3</c:v>
                </c:pt>
                <c:pt idx="8">
                  <c:v>0</c:v>
                </c:pt>
                <c:pt idx="9">
                  <c:v>1</c:v>
                </c:pt>
                <c:pt idx="10">
                  <c:v>3</c:v>
                </c:pt>
                <c:pt idx="11">
                  <c:v>1</c:v>
                </c:pt>
                <c:pt idx="12">
                  <c:v>5</c:v>
                </c:pt>
                <c:pt idx="13">
                  <c:v>5</c:v>
                </c:pt>
                <c:pt idx="14">
                  <c:v>44</c:v>
                </c:pt>
              </c:numCache>
            </c:numRef>
          </c:val>
        </c:ser>
        <c:gapWidth val="100"/>
        <c:overlap val="0"/>
        <c:axId val="47376401"/>
        <c:axId val="31389333"/>
      </c:barChart>
      <c:lineChart>
        <c:grouping val="standard"/>
        <c:varyColors val="0"/>
        <c:ser>
          <c:idx val="1"/>
          <c:order val="1"/>
          <c:tx>
            <c:strRef>
              <c:f>label 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rgbClr val="ffc000"/>
            </a:solidFill>
            <a:ln w="28440">
              <a:solidFill>
                <a:srgbClr val="ffc000"/>
              </a:solidFill>
              <a:round/>
            </a:ln>
          </c:spPr>
          <c:marker>
            <c:symbol val="none"/>
          </c:marker>
          <c:dLbls>
            <c:numFmt formatCode="General" sourceLinked="1"/>
            <c:dLblPos val="r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15"/>
                <c:pt idx="0">
                  <c:v>Тугулымский</c:v>
                </c:pt>
                <c:pt idx="1">
                  <c:v>Ревдинский</c:v>
                </c:pt>
                <c:pt idx="2">
                  <c:v>Артемовский</c:v>
                </c:pt>
                <c:pt idx="3">
                  <c:v>Кушвинский</c:v>
                </c:pt>
                <c:pt idx="4">
                  <c:v>Верхнесалдинский</c:v>
                </c:pt>
                <c:pt idx="5">
                  <c:v>Лесной</c:v>
                </c:pt>
                <c:pt idx="6">
                  <c:v>Артинский</c:v>
                </c:pt>
                <c:pt idx="7">
                  <c:v>Красноуфимский</c:v>
                </c:pt>
                <c:pt idx="8">
                  <c:v>Туринский</c:v>
                </c:pt>
                <c:pt idx="9">
                  <c:v>Серовский</c:v>
                </c:pt>
                <c:pt idx="10">
                  <c:v>Березовский</c:v>
                </c:pt>
                <c:pt idx="11">
                  <c:v>Краснотурьинский</c:v>
                </c:pt>
                <c:pt idx="12">
                  <c:v>Первоуральский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6</c:v>
                </c:pt>
                <c:pt idx="11">
                  <c:v>6</c:v>
                </c:pt>
                <c:pt idx="12">
                  <c:v>7</c:v>
                </c:pt>
                <c:pt idx="13">
                  <c:v>10</c:v>
                </c:pt>
                <c:pt idx="14">
                  <c:v>98</c:v>
                </c:pt>
              </c:numCache>
            </c:numRef>
          </c:val>
          <c:smooth val="0"/>
        </c:ser>
        <c:hiLowLines>
          <c:spPr>
            <a:ln>
              <a:noFill/>
            </a:ln>
          </c:spPr>
        </c:hiLowLines>
        <c:marker val="0"/>
        <c:axId val="34791162"/>
        <c:axId val="24135450"/>
      </c:lineChart>
      <c:catAx>
        <c:axId val="47376401"/>
        <c:scaling>
          <c:orientation val="minMax"/>
        </c:scaling>
        <c:delete val="0"/>
        <c:axPos val="b"/>
        <c:numFmt formatCode="DD/MM/YYYY" sourceLinked="1"/>
        <c:majorTickMark val="out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31389333"/>
        <c:crosses val="autoZero"/>
        <c:auto val="1"/>
        <c:lblAlgn val="ctr"/>
        <c:lblOffset val="100"/>
      </c:catAx>
      <c:valAx>
        <c:axId val="31389333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47376401"/>
        <c:crosses val="autoZero"/>
      </c:valAx>
      <c:catAx>
        <c:axId val="34791162"/>
        <c:scaling>
          <c:orientation val="minMax"/>
        </c:scaling>
        <c:delete val="1"/>
        <c:axPos val="b"/>
        <c:numFmt formatCode="DD/MM/YYYY" sourceLinked="1"/>
        <c:majorTickMark val="out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24135450"/>
        <c:crosses val="autoZero"/>
        <c:auto val="1"/>
        <c:lblAlgn val="ctr"/>
        <c:lblOffset val="100"/>
      </c:catAx>
      <c:valAx>
        <c:axId val="24135450"/>
        <c:scaling>
          <c:orientation val="minMax"/>
        </c:scaling>
        <c:delete val="1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34791162"/>
        <c:crosses val="autoZero"/>
      </c:valAx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2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200" spc="-1" strike="noStrike">
                <a:solidFill>
                  <a:srgbClr val="595959"/>
                </a:solidFill>
                <a:latin typeface="Calibri"/>
              </a:rPr>
              <a:t>Распределение пострадавших и погибших детей по возрастным группам</a:t>
            </a:r>
          </a:p>
        </c:rich>
      </c:tx>
      <c:overlay val="0"/>
    </c:title>
    <c:autoTitleDeleted val="0"/>
    <c:plotArea>
      <c:pie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explosion val="0"/>
          <c:dPt>
            <c:idx val="0"/>
            <c:spPr>
              <a:solidFill>
                <a:srgbClr val="ed7d31"/>
              </a:solidFill>
              <a:ln w="19080">
                <a:solidFill>
                  <a:srgbClr val="ffffff"/>
                </a:solidFill>
                <a:round/>
              </a:ln>
            </c:spPr>
          </c:dPt>
          <c:dPt>
            <c:idx val="1"/>
            <c:spPr>
              <a:solidFill>
                <a:srgbClr val="ffc000"/>
              </a:solidFill>
              <a:ln w="19080">
                <a:solidFill>
                  <a:srgbClr val="ffffff"/>
                </a:solidFill>
                <a:round/>
              </a:ln>
            </c:spPr>
          </c:dPt>
          <c:dPt>
            <c:idx val="2"/>
            <c:spPr>
              <a:solidFill>
                <a:srgbClr val="70ad47"/>
              </a:solidFill>
              <a:ln w="19080">
                <a:solidFill>
                  <a:srgbClr val="ffffff"/>
                </a:solidFill>
                <a:round/>
              </a:ln>
            </c:spPr>
          </c:dPt>
          <c:dLbls>
            <c:numFmt formatCode="General" sourceLinked="1"/>
            <c:dLbl>
              <c:idx val="0"/>
              <c:dLblPos val="bestFit"/>
              <c:showLegendKey val="0"/>
              <c:showVal val="1"/>
              <c:showCatName val="0"/>
              <c:showSerName val="0"/>
              <c:showPercent val="0"/>
            </c:dLbl>
            <c:dLbl>
              <c:idx val="1"/>
              <c:dLblPos val="bestFit"/>
              <c:showLegendKey val="0"/>
              <c:showVal val="1"/>
              <c:showCatName val="0"/>
              <c:showSerName val="0"/>
              <c:showPercent val="0"/>
            </c:dLbl>
            <c:dLbl>
              <c:idx val="2"/>
              <c:dLblPos val="bestFit"/>
              <c:showLegendKey val="0"/>
              <c:showVal val="1"/>
              <c:showCatName val="0"/>
              <c:showSerName val="0"/>
              <c:showPercent val="0"/>
            </c:dLbl>
            <c:dLblPos val="bestFit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61</c:v>
                </c:pt>
                <c:pt idx="1">
                  <c:v>87</c:v>
                </c:pt>
                <c:pt idx="2">
                  <c:v>91</c:v>
                </c:pt>
              </c:numCache>
            </c:numRef>
          </c:val>
        </c:ser>
        <c:firstSliceAng val="0"/>
      </c:pieChart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2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200" spc="-1" strike="noStrike">
                <a:solidFill>
                  <a:srgbClr val="595959"/>
                </a:solidFill>
                <a:latin typeface="Calibri"/>
              </a:rPr>
              <a:t>Распределение пострадавших и погибших детей по гендерным признакам</a:t>
            </a:r>
          </a:p>
        </c:rich>
      </c:tx>
      <c:overlay val="0"/>
    </c:title>
    <c:autoTitleDeleted val="0"/>
    <c:plotArea>
      <c:pie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explosion val="0"/>
          <c:dPt>
            <c:idx val="0"/>
            <c:spPr>
              <a:solidFill>
                <a:srgbClr val="ffc000"/>
              </a:solidFill>
              <a:ln w="19080">
                <a:solidFill>
                  <a:srgbClr val="ffffff"/>
                </a:solidFill>
                <a:round/>
              </a:ln>
            </c:spPr>
          </c:dPt>
          <c:dPt>
            <c:idx val="1"/>
            <c:spPr>
              <a:solidFill>
                <a:srgbClr val="7030a0"/>
              </a:solidFill>
              <a:ln w="19080">
                <a:solidFill>
                  <a:srgbClr val="ffffff"/>
                </a:solidFill>
                <a:round/>
              </a:ln>
            </c:spPr>
          </c:dPt>
          <c:dLbls>
            <c:numFmt formatCode="General" sourceLinked="1"/>
            <c:dLbl>
              <c:idx val="0"/>
              <c:dLblPos val="bestFit"/>
              <c:showLegendKey val="0"/>
              <c:showVal val="1"/>
              <c:showCatName val="0"/>
              <c:showSerName val="0"/>
              <c:showPercent val="0"/>
            </c:dLbl>
            <c:dLbl>
              <c:idx val="1"/>
              <c:dLblPos val="bestFit"/>
              <c:showLegendKey val="0"/>
              <c:showVal val="1"/>
              <c:showCatName val="0"/>
              <c:showSerName val="0"/>
              <c:showPercent val="0"/>
            </c:dLbl>
            <c:dLblPos val="bestFit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136</c:v>
                </c:pt>
                <c:pt idx="1">
                  <c:v>103</c:v>
                </c:pt>
              </c:numCache>
            </c:numRef>
          </c:val>
        </c:ser>
        <c:firstSliceAng val="0"/>
      </c:pieChart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Распределение показателей в зависимости от погодных условий</a:t>
            </a:r>
          </a:p>
        </c:rich>
      </c:tx>
      <c:overlay val="0"/>
    </c:title>
    <c:autoTitleDeleted val="0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70ad47"/>
            </a:solidFill>
            <a:ln>
              <a:noFill/>
            </a:ln>
          </c:spPr>
          <c:invertIfNegative val="0"/>
          <c:dLbls>
            <c:numFmt formatCode="General" sourceLinked="1"/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151</c:v>
                </c:pt>
                <c:pt idx="1">
                  <c:v>44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4472c4"/>
            </a:solidFill>
            <a:ln>
              <a:noFill/>
            </a:ln>
          </c:spPr>
          <c:invertIfNegative val="0"/>
          <c:dLbls>
            <c:numFmt formatCode="General" sourceLinked="1"/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3"/>
                <c:pt idx="0">
                  <c:v>162</c:v>
                </c:pt>
                <c:pt idx="1">
                  <c:v>49</c:v>
                </c:pt>
                <c:pt idx="2">
                  <c:v>13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</c:spPr>
          <c:invertIfNegative val="0"/>
          <c:dLbls>
            <c:numFmt formatCode="General" sourceLinked="1"/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3"/>
                <c:pt idx="0">
                  <c:v>11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</c:ser>
        <c:gapWidth val="219"/>
        <c:overlap val="-27"/>
        <c:axId val="57632"/>
        <c:axId val="22905769"/>
      </c:barChart>
      <c:catAx>
        <c:axId val="57632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22905769"/>
        <c:crosses val="autoZero"/>
        <c:auto val="1"/>
        <c:lblAlgn val="ctr"/>
        <c:lblOffset val="100"/>
      </c:catAx>
      <c:valAx>
        <c:axId val="22905769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57632"/>
        <c:crosses val="autoZero"/>
      </c:valAx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Распределение ДТП по времени суток</a:t>
            </a:r>
          </a:p>
        </c:rich>
      </c:tx>
      <c:overlay val="0"/>
    </c:title>
    <c:autoTitleDeleted val="0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70ad47"/>
            </a:solidFill>
            <a:ln>
              <a:noFill/>
            </a:ln>
          </c:spPr>
          <c:invertIfNegative val="0"/>
          <c:dLbls>
            <c:numFmt formatCode="General" sourceLinked="1"/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7"/>
                <c:pt idx="0">
                  <c:v>3</c:v>
                </c:pt>
                <c:pt idx="1">
                  <c:v>16</c:v>
                </c:pt>
                <c:pt idx="2">
                  <c:v>16</c:v>
                </c:pt>
                <c:pt idx="3">
                  <c:v>33</c:v>
                </c:pt>
                <c:pt idx="4">
                  <c:v>68</c:v>
                </c:pt>
                <c:pt idx="5">
                  <c:v>54</c:v>
                </c:pt>
                <c:pt idx="6">
                  <c:v>16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4472c4"/>
            </a:solidFill>
            <a:ln>
              <a:noFill/>
            </a:ln>
          </c:spPr>
          <c:invertIfNegative val="0"/>
          <c:dLbls>
            <c:numFmt formatCode="General" sourceLinked="1"/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7"/>
                <c:pt idx="0">
                  <c:v>2</c:v>
                </c:pt>
                <c:pt idx="1">
                  <c:v>16</c:v>
                </c:pt>
                <c:pt idx="2">
                  <c:v>16</c:v>
                </c:pt>
                <c:pt idx="3">
                  <c:v>44</c:v>
                </c:pt>
                <c:pt idx="4">
                  <c:v>68</c:v>
                </c:pt>
                <c:pt idx="5">
                  <c:v>61</c:v>
                </c:pt>
                <c:pt idx="6">
                  <c:v>17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</c:spPr>
          <c:invertIfNegative val="0"/>
          <c:dLbls>
            <c:numFmt formatCode="General" sourceLinked="1"/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5</c:v>
                </c:pt>
                <c:pt idx="3">
                  <c:v>0</c:v>
                </c:pt>
                <c:pt idx="4">
                  <c:v>3</c:v>
                </c:pt>
                <c:pt idx="5">
                  <c:v>5</c:v>
                </c:pt>
                <c:pt idx="6">
                  <c:v>1</c:v>
                </c:pt>
              </c:numCache>
            </c:numRef>
          </c:val>
        </c:ser>
        <c:gapWidth val="219"/>
        <c:overlap val="-27"/>
        <c:axId val="17657166"/>
        <c:axId val="29372869"/>
      </c:barChart>
      <c:catAx>
        <c:axId val="17657166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7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29372869"/>
        <c:crosses val="autoZero"/>
        <c:auto val="1"/>
        <c:lblAlgn val="ctr"/>
        <c:lblOffset val="100"/>
      </c:catAx>
      <c:valAx>
        <c:axId val="29372869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17657166"/>
        <c:crosses val="autoZero"/>
      </c:valAx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Распределение ДТП по дням недели</a:t>
            </a:r>
          </a:p>
        </c:rich>
      </c:tx>
      <c:overlay val="0"/>
    </c:title>
    <c:autoTitleDeleted val="0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invertIfNegative val="0"/>
          <c:dLbls>
            <c:numFmt formatCode="General" sourceLinked="1"/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</c:dLbl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7"/>
                <c:pt idx="0">
                  <c:v>32</c:v>
                </c:pt>
                <c:pt idx="1">
                  <c:v>35</c:v>
                </c:pt>
                <c:pt idx="2">
                  <c:v>24</c:v>
                </c:pt>
                <c:pt idx="3">
                  <c:v>25</c:v>
                </c:pt>
                <c:pt idx="4">
                  <c:v>29</c:v>
                </c:pt>
                <c:pt idx="5">
                  <c:v>34</c:v>
                </c:pt>
                <c:pt idx="6">
                  <c:v>27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</c:spPr>
          <c:invertIfNegative val="0"/>
          <c:dLbls>
            <c:numFmt formatCode="General" sourceLinked="1"/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</c:dLbl>
            <c:dLbl>
              <c:idx val="6"/>
              <c:dLblPos val="outEnd"/>
              <c:showLegendKey val="0"/>
              <c:showVal val="1"/>
              <c:showCatName val="0"/>
              <c:showSerName val="0"/>
              <c:showPercent val="0"/>
            </c:dLbl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7"/>
                <c:pt idx="0">
                  <c:v>34</c:v>
                </c:pt>
                <c:pt idx="1">
                  <c:v>38</c:v>
                </c:pt>
                <c:pt idx="2">
                  <c:v>24</c:v>
                </c:pt>
                <c:pt idx="3">
                  <c:v>26</c:v>
                </c:pt>
                <c:pt idx="4">
                  <c:v>34</c:v>
                </c:pt>
                <c:pt idx="5">
                  <c:v>37</c:v>
                </c:pt>
                <c:pt idx="6">
                  <c:v>31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</c:spPr>
          <c:invertIfNegative val="0"/>
          <c:dLbls>
            <c:numFmt formatCode="General" sourceLinked="1"/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7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  <c:pt idx="5">
                  <c:v>4</c:v>
                </c:pt>
                <c:pt idx="6">
                  <c:v>6</c:v>
                </c:pt>
              </c:numCache>
            </c:numRef>
          </c:val>
        </c:ser>
        <c:gapWidth val="219"/>
        <c:overlap val="0"/>
        <c:axId val="76814137"/>
        <c:axId val="59207490"/>
      </c:barChart>
      <c:catAx>
        <c:axId val="76814137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59207490"/>
        <c:crosses val="autoZero"/>
        <c:auto val="1"/>
        <c:lblAlgn val="ctr"/>
        <c:lblOffset val="100"/>
      </c:catAx>
      <c:valAx>
        <c:axId val="59207490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76814137"/>
        <c:crosses val="autoZero"/>
      </c:valAx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ДТП по видам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spPr>
        <a:solidFill>
          <a:srgbClr val="d9d9d9"/>
        </a:solidFill>
        <a:ln>
          <a:noFill/>
        </a:ln>
      </c:spPr>
    </c:floor>
    <c:sideWall>
      <c:spPr>
        <a:solidFill>
          <a:srgbClr val="d9d9d9"/>
        </a:solidFill>
        <a:ln>
          <a:noFill/>
        </a:ln>
      </c:spPr>
    </c:sideWall>
    <c:backWall>
      <c:spPr>
        <a:solidFill>
          <a:srgbClr val="d9d9d9"/>
        </a:solidFill>
        <a:ln>
          <a:noFill/>
        </a:ln>
      </c:spPr>
    </c:backWall>
    <c:plotArea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ДТП по видам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explosion val="0"/>
          <c:dPt>
            <c:idx val="0"/>
            <c:spPr>
              <a:solidFill>
                <a:srgbClr val="5b9bd5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"/>
            <c:spPr>
              <a:solidFill>
                <a:srgbClr val="ed7d31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2"/>
            <c:spPr>
              <a:solidFill>
                <a:srgbClr val="a5a5a5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3"/>
            <c:spPr>
              <a:solidFill>
                <a:srgbClr val="ffc000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4"/>
            <c:spPr>
              <a:solidFill>
                <a:srgbClr val="4472c4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5"/>
            <c:spPr>
              <a:solidFill>
                <a:srgbClr val="70ad47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6"/>
            <c:spPr>
              <a:solidFill>
                <a:srgbClr val="255e91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7"/>
            <c:spPr>
              <a:solidFill>
                <a:srgbClr val="9e480e"/>
              </a:solidFill>
              <a:ln w="25560">
                <a:solidFill>
                  <a:srgbClr val="ffffff"/>
                </a:solidFill>
                <a:round/>
              </a:ln>
            </c:spPr>
          </c:dPt>
          <c:dLbls>
            <c:numFmt formatCode="General" sourceLinked="1"/>
            <c:dLbl>
              <c:idx val="0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1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2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3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4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5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6"/>
              <c:dLblPos val="bestFit"/>
              <c:showLegendKey val="0"/>
              <c:showVal val="1"/>
              <c:showCatName val="1"/>
              <c:showSerName val="0"/>
              <c:showPercent val="0"/>
            </c:dLbl>
            <c:dLbl>
              <c:idx val="7"/>
              <c:dLblPos val="bestFit"/>
              <c:showLegendKey val="0"/>
              <c:showVal val="1"/>
              <c:showCatName val="1"/>
              <c:showSerName val="0"/>
              <c:showPercent val="0"/>
            </c:dLbl>
            <c:dLblPos val="bestFit"/>
            <c:showLegendKey val="0"/>
            <c:showVal val="1"/>
            <c:showCatName val="1"/>
            <c:showSerName val="0"/>
            <c:showPercent val="0"/>
            <c:showLeaderLines val="0"/>
          </c:dLbls>
          <c:cat>
            <c:strRef>
              <c:f>categories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8"/>
                <c:pt idx="0">
                  <c:v>76</c:v>
                </c:pt>
                <c:pt idx="1">
                  <c:v>92</c:v>
                </c:pt>
                <c:pt idx="2">
                  <c:v>1</c:v>
                </c:pt>
                <c:pt idx="3">
                  <c:v>9</c:v>
                </c:pt>
                <c:pt idx="4">
                  <c:v>2</c:v>
                </c:pt>
                <c:pt idx="5">
                  <c:v>23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</c:ser>
      </c:pie3DChart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Распределение раненых и погибших в ДТП детей по значению дорог</a:t>
            </a:r>
          </a:p>
        </c:rich>
      </c:tx>
      <c:overlay val="0"/>
    </c:title>
    <c:autoTitleDeleted val="0"/>
    <c:plotArea>
      <c:barChart>
        <c:barDir val="bar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</c:spPr>
          <c:invertIfNegative val="0"/>
          <c:dLbls>
            <c:numFmt formatCode="General" sourceLinked="1"/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30</c:v>
                </c:pt>
                <c:pt idx="1">
                  <c:v>16</c:v>
                </c:pt>
                <c:pt idx="2">
                  <c:v>30</c:v>
                </c:pt>
                <c:pt idx="3">
                  <c:v>148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</c:spPr>
          <c:invertIfNegative val="0"/>
          <c:dLbls>
            <c:numFmt formatCode="General" sourceLinked="1"/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</c:dLbl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8</c:v>
                </c:pt>
                <c:pt idx="3">
                  <c:v>5</c:v>
                </c:pt>
              </c:numCache>
            </c:numRef>
          </c:val>
        </c:ser>
        <c:gapWidth val="182"/>
        <c:overlap val="0"/>
        <c:axId val="85173788"/>
        <c:axId val="67846085"/>
      </c:barChart>
      <c:catAx>
        <c:axId val="85173788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67846085"/>
        <c:crosses val="autoZero"/>
        <c:auto val="1"/>
        <c:lblAlgn val="ctr"/>
        <c:lblOffset val="100"/>
      </c:catAx>
      <c:valAx>
        <c:axId val="67846085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85173788"/>
        <c:crosses val="autoZero"/>
      </c:valAx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24D85-41AF-4963-865D-685FF193F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5921</TotalTime>
  <Application>LibreOffice/6.0.5.2$Linux_X86_64 LibreOffice_project/00m0$Build-2</Application>
  <Pages>9</Pages>
  <Words>2846</Words>
  <Characters>17596</Characters>
  <CharactersWithSpaces>20445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2020-09-14T09:21:00Z</dcterms:created>
  <dc:creator>Пользователь</dc:creator>
  <dc:description/>
  <dc:language>ru-RU</dc:language>
  <cp:lastModifiedBy/>
  <cp:lastPrinted>2021-05-13T10:15:00Z</cp:lastPrinted>
  <dcterms:modified xsi:type="dcterms:W3CDTF">2021-08-13T14:33:21Z</dcterms:modified>
  <cp:revision>328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